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F0D9F" w14:textId="77777777" w:rsidR="00B44ED6" w:rsidRDefault="00B44ED6" w:rsidP="0034698D">
      <w:pPr>
        <w:spacing w:after="40" w:line="360" w:lineRule="auto"/>
        <w:jc w:val="center"/>
        <w:rPr>
          <w:rFonts w:ascii="Century Gothic" w:hAnsi="Century Gothic"/>
          <w:b/>
          <w:sz w:val="32"/>
          <w:szCs w:val="32"/>
        </w:rPr>
      </w:pPr>
    </w:p>
    <w:p w14:paraId="5E6C5974" w14:textId="720B52C5" w:rsidR="00222B4E" w:rsidRPr="00311941" w:rsidRDefault="003652DE" w:rsidP="0034698D">
      <w:pPr>
        <w:spacing w:after="40" w:line="360" w:lineRule="auto"/>
        <w:jc w:val="center"/>
        <w:rPr>
          <w:rFonts w:ascii="Century Gothic" w:hAnsi="Century Gothic"/>
          <w:sz w:val="32"/>
          <w:szCs w:val="32"/>
        </w:rPr>
      </w:pPr>
      <w:bookmarkStart w:id="0" w:name="_GoBack"/>
      <w:bookmarkEnd w:id="0"/>
      <w:r w:rsidRPr="00311941">
        <w:rPr>
          <w:rFonts w:ascii="Century Gothic" w:hAnsi="Century Gothic"/>
          <w:b/>
          <w:sz w:val="32"/>
          <w:szCs w:val="32"/>
        </w:rPr>
        <w:t>ZAPF ANNUAL CONVENTION 2026 — PANEL DISCUSSION</w:t>
      </w:r>
    </w:p>
    <w:p w14:paraId="4CF8E414" w14:textId="179C8A89" w:rsidR="00222B4E" w:rsidRPr="00311941" w:rsidRDefault="003652DE" w:rsidP="00727761">
      <w:pPr>
        <w:pStyle w:val="ListParagraph"/>
        <w:numPr>
          <w:ilvl w:val="0"/>
          <w:numId w:val="10"/>
        </w:numPr>
        <w:shd w:val="clear" w:color="auto" w:fill="1B2A6B"/>
        <w:spacing w:before="260" w:after="80" w:line="360" w:lineRule="auto"/>
        <w:rPr>
          <w:rFonts w:ascii="Century Gothic" w:hAnsi="Century Gothic"/>
          <w:sz w:val="28"/>
          <w:szCs w:val="28"/>
        </w:rPr>
      </w:pPr>
      <w:r w:rsidRPr="00727761">
        <w:rPr>
          <w:rFonts w:ascii="Century Gothic" w:hAnsi="Century Gothic"/>
          <w:b/>
          <w:sz w:val="24"/>
          <w:szCs w:val="24"/>
        </w:rPr>
        <w:t xml:space="preserve">  </w:t>
      </w:r>
      <w:r w:rsidRPr="00311941">
        <w:rPr>
          <w:rFonts w:ascii="Century Gothic" w:hAnsi="Century Gothic"/>
          <w:b/>
          <w:sz w:val="28"/>
          <w:szCs w:val="28"/>
        </w:rPr>
        <w:t>New Pension Regulations and the Re-registration of Fund Rules</w:t>
      </w:r>
    </w:p>
    <w:p w14:paraId="0352BF04" w14:textId="77777777" w:rsidR="00222B4E" w:rsidRPr="0034698D" w:rsidRDefault="003652DE" w:rsidP="0034698D">
      <w:pPr>
        <w:shd w:val="clear" w:color="auto" w:fill="EEF1F8"/>
        <w:spacing w:before="60" w:after="100" w:line="360" w:lineRule="auto"/>
        <w:ind w:left="144" w:right="144"/>
        <w:rPr>
          <w:rFonts w:ascii="Century Gothic" w:hAnsi="Century Gothic"/>
          <w:sz w:val="24"/>
          <w:szCs w:val="24"/>
        </w:rPr>
      </w:pPr>
      <w:r w:rsidRPr="0034698D">
        <w:rPr>
          <w:rFonts w:ascii="Century Gothic" w:hAnsi="Century Gothic"/>
          <w:b/>
          <w:sz w:val="24"/>
          <w:szCs w:val="24"/>
        </w:rPr>
        <w:t xml:space="preserve">Q:  </w:t>
      </w:r>
      <w:r w:rsidRPr="0034698D">
        <w:rPr>
          <w:rFonts w:ascii="Century Gothic" w:hAnsi="Century Gothic"/>
          <w:i/>
          <w:sz w:val="24"/>
          <w:szCs w:val="24"/>
        </w:rPr>
        <w:t>What level of flexibility will IPEC allow during the transition to the new pension regulations, particularly for funds with complex or long-standing rule structures?</w:t>
      </w:r>
    </w:p>
    <w:p w14:paraId="795281F1" w14:textId="77777777" w:rsidR="00504875" w:rsidRDefault="00504875" w:rsidP="004E6E24">
      <w:pPr>
        <w:spacing w:after="40" w:line="240" w:lineRule="auto"/>
        <w:rPr>
          <w:rFonts w:ascii="Century Gothic" w:hAnsi="Century Gothic"/>
          <w:b/>
          <w:sz w:val="24"/>
          <w:szCs w:val="24"/>
        </w:rPr>
      </w:pPr>
    </w:p>
    <w:p w14:paraId="03058F86" w14:textId="3079B056" w:rsidR="00A1711E" w:rsidRPr="00A1711E" w:rsidRDefault="00A1711E" w:rsidP="00A1711E">
      <w:pPr>
        <w:pStyle w:val="ListParagraph"/>
        <w:numPr>
          <w:ilvl w:val="0"/>
          <w:numId w:val="18"/>
        </w:numPr>
        <w:spacing w:after="40" w:line="360" w:lineRule="auto"/>
        <w:rPr>
          <w:rFonts w:ascii="Century Gothic" w:hAnsi="Century Gothic"/>
          <w:bCs/>
          <w:i/>
          <w:iCs/>
          <w:sz w:val="24"/>
          <w:szCs w:val="24"/>
        </w:rPr>
      </w:pPr>
      <w:r w:rsidRPr="00A1711E">
        <w:rPr>
          <w:rFonts w:ascii="Century Gothic" w:hAnsi="Century Gothic"/>
          <w:bCs/>
          <w:i/>
          <w:iCs/>
          <w:sz w:val="24"/>
          <w:szCs w:val="24"/>
        </w:rPr>
        <w:t>the Pension and Provident Funds Regulations</w:t>
      </w:r>
      <w:r>
        <w:rPr>
          <w:rFonts w:ascii="Century Gothic" w:hAnsi="Century Gothic"/>
          <w:bCs/>
          <w:i/>
          <w:iCs/>
          <w:sz w:val="24"/>
          <w:szCs w:val="24"/>
        </w:rPr>
        <w:t xml:space="preserve"> were gazetted as S.I. 151 of 2026</w:t>
      </w:r>
    </w:p>
    <w:p w14:paraId="09513547" w14:textId="28B83BBE" w:rsidR="00B15F71" w:rsidRDefault="004C1277" w:rsidP="004C1277">
      <w:pPr>
        <w:pStyle w:val="ListParagraph"/>
        <w:numPr>
          <w:ilvl w:val="0"/>
          <w:numId w:val="18"/>
        </w:numPr>
        <w:spacing w:after="40" w:line="360" w:lineRule="auto"/>
        <w:rPr>
          <w:rFonts w:ascii="Century Gothic" w:hAnsi="Century Gothic"/>
          <w:bCs/>
          <w:i/>
          <w:iCs/>
          <w:sz w:val="24"/>
          <w:szCs w:val="24"/>
        </w:rPr>
      </w:pPr>
      <w:r w:rsidRPr="00A1711E">
        <w:rPr>
          <w:rFonts w:ascii="Century Gothic" w:hAnsi="Century Gothic"/>
          <w:bCs/>
          <w:i/>
          <w:iCs/>
          <w:sz w:val="24"/>
          <w:szCs w:val="24"/>
        </w:rPr>
        <w:t>Most of the new</w:t>
      </w:r>
      <w:r w:rsidR="00157E71">
        <w:rPr>
          <w:rFonts w:ascii="Century Gothic" w:hAnsi="Century Gothic"/>
          <w:bCs/>
          <w:i/>
          <w:iCs/>
          <w:sz w:val="24"/>
          <w:szCs w:val="24"/>
        </w:rPr>
        <w:t xml:space="preserve"> </w:t>
      </w:r>
      <w:proofErr w:type="gramStart"/>
      <w:r w:rsidR="00157E71">
        <w:rPr>
          <w:rFonts w:ascii="Century Gothic" w:hAnsi="Century Gothic"/>
          <w:bCs/>
          <w:i/>
          <w:iCs/>
          <w:sz w:val="24"/>
          <w:szCs w:val="24"/>
        </w:rPr>
        <w:t xml:space="preserve">provisions </w:t>
      </w:r>
      <w:r w:rsidRPr="00A1711E">
        <w:rPr>
          <w:rFonts w:ascii="Century Gothic" w:hAnsi="Century Gothic"/>
          <w:bCs/>
          <w:i/>
          <w:iCs/>
          <w:sz w:val="24"/>
          <w:szCs w:val="24"/>
        </w:rPr>
        <w:t xml:space="preserve"> </w:t>
      </w:r>
      <w:r w:rsidR="00157E71">
        <w:rPr>
          <w:rFonts w:ascii="Century Gothic" w:hAnsi="Century Gothic"/>
          <w:bCs/>
          <w:i/>
          <w:iCs/>
          <w:sz w:val="24"/>
          <w:szCs w:val="24"/>
        </w:rPr>
        <w:t>had</w:t>
      </w:r>
      <w:proofErr w:type="gramEnd"/>
      <w:r w:rsidR="00157E71">
        <w:rPr>
          <w:rFonts w:ascii="Century Gothic" w:hAnsi="Century Gothic"/>
          <w:bCs/>
          <w:i/>
          <w:iCs/>
          <w:sz w:val="24"/>
          <w:szCs w:val="24"/>
        </w:rPr>
        <w:t xml:space="preserve"> already been</w:t>
      </w:r>
      <w:r w:rsidRPr="00A1711E">
        <w:rPr>
          <w:rFonts w:ascii="Century Gothic" w:hAnsi="Century Gothic"/>
          <w:bCs/>
          <w:i/>
          <w:iCs/>
          <w:sz w:val="24"/>
          <w:szCs w:val="24"/>
        </w:rPr>
        <w:t xml:space="preserve"> brought into effect through Circulars and Directives. What we have done is to consolidate these into Regulations and most of them will be redundant e.g. Micropension Framework – provisions on registration of micropensions now provided for</w:t>
      </w:r>
    </w:p>
    <w:p w14:paraId="567F7A00" w14:textId="77777777" w:rsidR="00DB1D83" w:rsidRDefault="004C1277" w:rsidP="004C1277">
      <w:pPr>
        <w:pStyle w:val="ListParagraph"/>
        <w:numPr>
          <w:ilvl w:val="0"/>
          <w:numId w:val="18"/>
        </w:numPr>
        <w:spacing w:after="40" w:line="360" w:lineRule="auto"/>
        <w:rPr>
          <w:rFonts w:ascii="Century Gothic" w:hAnsi="Century Gothic"/>
          <w:bCs/>
          <w:i/>
          <w:iCs/>
          <w:sz w:val="24"/>
          <w:szCs w:val="24"/>
        </w:rPr>
      </w:pPr>
      <w:r w:rsidRPr="00B15F71">
        <w:rPr>
          <w:rFonts w:ascii="Century Gothic" w:hAnsi="Century Gothic"/>
          <w:bCs/>
          <w:i/>
          <w:iCs/>
          <w:sz w:val="24"/>
          <w:szCs w:val="24"/>
        </w:rPr>
        <w:t xml:space="preserve">We </w:t>
      </w:r>
      <w:r w:rsidR="00B15F71">
        <w:rPr>
          <w:rFonts w:ascii="Century Gothic" w:hAnsi="Century Gothic"/>
          <w:bCs/>
          <w:i/>
          <w:iCs/>
          <w:sz w:val="24"/>
          <w:szCs w:val="24"/>
        </w:rPr>
        <w:t xml:space="preserve">will </w:t>
      </w:r>
      <w:r w:rsidRPr="00B15F71">
        <w:rPr>
          <w:rFonts w:ascii="Century Gothic" w:hAnsi="Century Gothic"/>
          <w:bCs/>
          <w:i/>
          <w:iCs/>
          <w:sz w:val="24"/>
          <w:szCs w:val="24"/>
        </w:rPr>
        <w:t>issue a circular advising of the circulars and Guidelines that have been made redundant by the Regulations</w:t>
      </w:r>
    </w:p>
    <w:p w14:paraId="0BA111AC" w14:textId="77777777" w:rsidR="00F40C51" w:rsidRDefault="004C1277" w:rsidP="00F40C51">
      <w:pPr>
        <w:pStyle w:val="ListParagraph"/>
        <w:numPr>
          <w:ilvl w:val="0"/>
          <w:numId w:val="18"/>
        </w:numPr>
        <w:spacing w:after="40" w:line="360" w:lineRule="auto"/>
        <w:rPr>
          <w:rFonts w:ascii="Century Gothic" w:hAnsi="Century Gothic"/>
          <w:bCs/>
          <w:i/>
          <w:iCs/>
          <w:sz w:val="24"/>
          <w:szCs w:val="24"/>
        </w:rPr>
      </w:pPr>
      <w:r w:rsidRPr="00DB1D83">
        <w:rPr>
          <w:rFonts w:ascii="Century Gothic" w:hAnsi="Century Gothic"/>
          <w:bCs/>
          <w:i/>
          <w:iCs/>
          <w:sz w:val="24"/>
          <w:szCs w:val="24"/>
        </w:rPr>
        <w:t>Key transitional matter is the redrafting of fund rules – Pension funds have up to 31 December to submit re-drafted rules that align with new Regulations</w:t>
      </w:r>
    </w:p>
    <w:p w14:paraId="53ADBE0D" w14:textId="77777777" w:rsidR="00846344" w:rsidRPr="00846344" w:rsidRDefault="00F40C51" w:rsidP="00846344">
      <w:pPr>
        <w:pStyle w:val="ListParagraph"/>
        <w:numPr>
          <w:ilvl w:val="0"/>
          <w:numId w:val="18"/>
        </w:numPr>
        <w:spacing w:after="40" w:line="360" w:lineRule="auto"/>
        <w:rPr>
          <w:rFonts w:ascii="Century Gothic" w:hAnsi="Century Gothic"/>
          <w:bCs/>
          <w:i/>
          <w:iCs/>
          <w:sz w:val="24"/>
          <w:szCs w:val="24"/>
        </w:rPr>
      </w:pPr>
      <w:r w:rsidRPr="00F40C51">
        <w:rPr>
          <w:rFonts w:ascii="Century Gothic" w:hAnsi="Century Gothic"/>
          <w:bCs/>
          <w:i/>
          <w:iCs/>
          <w:sz w:val="24"/>
          <w:szCs w:val="24"/>
        </w:rPr>
        <w:t xml:space="preserve">For </w:t>
      </w:r>
      <w:r w:rsidR="003652DE" w:rsidRPr="00F40C51">
        <w:rPr>
          <w:rFonts w:ascii="Century Gothic" w:hAnsi="Century Gothic"/>
          <w:i/>
          <w:iCs/>
          <w:sz w:val="24"/>
          <w:szCs w:val="24"/>
        </w:rPr>
        <w:t>Continuity</w:t>
      </w:r>
      <w:r w:rsidRPr="00F40C51">
        <w:rPr>
          <w:rFonts w:ascii="Century Gothic" w:hAnsi="Century Gothic"/>
          <w:i/>
          <w:iCs/>
          <w:sz w:val="24"/>
          <w:szCs w:val="24"/>
        </w:rPr>
        <w:t xml:space="preserve">, </w:t>
      </w:r>
      <w:r w:rsidR="003652DE" w:rsidRPr="00F40C51">
        <w:rPr>
          <w:rFonts w:ascii="Century Gothic" w:hAnsi="Century Gothic"/>
          <w:i/>
          <w:iCs/>
          <w:sz w:val="24"/>
          <w:szCs w:val="24"/>
        </w:rPr>
        <w:t>a fund’s existing registered rules remain in force until the redrafted rules are approved, so members’ rights and benefit administration are not interrupted during the transition.</w:t>
      </w:r>
    </w:p>
    <w:p w14:paraId="6FC59701" w14:textId="2D416A54" w:rsidR="00504875" w:rsidRPr="00504875" w:rsidRDefault="00846344" w:rsidP="00504875">
      <w:pPr>
        <w:pStyle w:val="ListParagraph"/>
        <w:numPr>
          <w:ilvl w:val="0"/>
          <w:numId w:val="18"/>
        </w:numPr>
        <w:spacing w:after="40" w:line="360" w:lineRule="auto"/>
        <w:rPr>
          <w:rFonts w:ascii="Century Gothic" w:hAnsi="Century Gothic"/>
          <w:bCs/>
          <w:i/>
          <w:iCs/>
          <w:sz w:val="24"/>
          <w:szCs w:val="24"/>
        </w:rPr>
      </w:pPr>
      <w:r>
        <w:rPr>
          <w:rFonts w:ascii="Century Gothic" w:hAnsi="Century Gothic"/>
          <w:i/>
          <w:iCs/>
          <w:sz w:val="24"/>
          <w:szCs w:val="24"/>
        </w:rPr>
        <w:t xml:space="preserve">Flexibility will be exercised on a </w:t>
      </w:r>
      <w:r w:rsidR="0018071E">
        <w:rPr>
          <w:rFonts w:ascii="Century Gothic" w:hAnsi="Century Gothic"/>
          <w:i/>
          <w:iCs/>
          <w:sz w:val="24"/>
          <w:szCs w:val="24"/>
        </w:rPr>
        <w:t>case-by-case</w:t>
      </w:r>
      <w:r w:rsidR="0098037D">
        <w:rPr>
          <w:rFonts w:ascii="Century Gothic" w:hAnsi="Century Gothic"/>
          <w:i/>
          <w:iCs/>
          <w:sz w:val="24"/>
          <w:szCs w:val="24"/>
        </w:rPr>
        <w:t xml:space="preserve"> basis </w:t>
      </w:r>
      <w:r w:rsidR="003652DE" w:rsidRPr="00846344">
        <w:rPr>
          <w:rFonts w:ascii="Century Gothic" w:hAnsi="Century Gothic"/>
          <w:sz w:val="24"/>
          <w:szCs w:val="24"/>
        </w:rPr>
        <w:t xml:space="preserve">on transitional </w:t>
      </w:r>
      <w:r w:rsidR="0098037D">
        <w:rPr>
          <w:rFonts w:ascii="Century Gothic" w:hAnsi="Century Gothic"/>
          <w:sz w:val="24"/>
          <w:szCs w:val="24"/>
        </w:rPr>
        <w:t xml:space="preserve">arrangements should a fund face </w:t>
      </w:r>
      <w:proofErr w:type="gramStart"/>
      <w:r w:rsidR="0098037D">
        <w:rPr>
          <w:rFonts w:ascii="Century Gothic" w:hAnsi="Century Gothic"/>
          <w:sz w:val="24"/>
          <w:szCs w:val="24"/>
        </w:rPr>
        <w:t>challenges</w:t>
      </w:r>
      <w:proofErr w:type="gramEnd"/>
    </w:p>
    <w:p w14:paraId="4BD83BE7" w14:textId="293BA214" w:rsidR="00222B4E" w:rsidRPr="00504875" w:rsidRDefault="003652DE" w:rsidP="00504875">
      <w:pPr>
        <w:pStyle w:val="ListParagraph"/>
        <w:numPr>
          <w:ilvl w:val="0"/>
          <w:numId w:val="18"/>
        </w:numPr>
        <w:spacing w:after="40" w:line="360" w:lineRule="auto"/>
        <w:jc w:val="both"/>
        <w:rPr>
          <w:rFonts w:ascii="Century Gothic" w:hAnsi="Century Gothic"/>
          <w:bCs/>
          <w:i/>
          <w:iCs/>
          <w:sz w:val="24"/>
          <w:szCs w:val="24"/>
        </w:rPr>
      </w:pPr>
      <w:r w:rsidRPr="00504875">
        <w:rPr>
          <w:rFonts w:ascii="Century Gothic" w:hAnsi="Century Gothic"/>
          <w:i/>
          <w:iCs/>
          <w:sz w:val="24"/>
          <w:szCs w:val="24"/>
        </w:rPr>
        <w:t>Rules that are non-compliant in substanc</w:t>
      </w:r>
      <w:r w:rsidR="00BE2A97" w:rsidRPr="00504875">
        <w:rPr>
          <w:rFonts w:ascii="Century Gothic" w:hAnsi="Century Gothic"/>
          <w:i/>
          <w:iCs/>
          <w:sz w:val="24"/>
          <w:szCs w:val="24"/>
        </w:rPr>
        <w:t>e,</w:t>
      </w:r>
      <w:r w:rsidRPr="00504875">
        <w:rPr>
          <w:rFonts w:ascii="Century Gothic" w:hAnsi="Century Gothic"/>
          <w:i/>
          <w:iCs/>
          <w:sz w:val="24"/>
          <w:szCs w:val="24"/>
        </w:rPr>
        <w:t xml:space="preserve"> for example</w:t>
      </w:r>
      <w:r w:rsidR="00BE2A97" w:rsidRPr="00504875">
        <w:rPr>
          <w:rFonts w:ascii="Century Gothic" w:hAnsi="Century Gothic"/>
          <w:i/>
          <w:iCs/>
          <w:sz w:val="24"/>
          <w:szCs w:val="24"/>
        </w:rPr>
        <w:t>,</w:t>
      </w:r>
      <w:r w:rsidRPr="00504875">
        <w:rPr>
          <w:rFonts w:ascii="Century Gothic" w:hAnsi="Century Gothic"/>
          <w:i/>
          <w:iCs/>
          <w:sz w:val="24"/>
          <w:szCs w:val="24"/>
        </w:rPr>
        <w:t xml:space="preserve"> on vesting, preservation, benefit computation, governance or expense treatment will not be approved regardless of history.</w:t>
      </w:r>
    </w:p>
    <w:p w14:paraId="5CE2525F" w14:textId="77777777" w:rsidR="00504875" w:rsidRDefault="00504875" w:rsidP="00504875">
      <w:pPr>
        <w:pStyle w:val="ListParagraph"/>
        <w:spacing w:after="40" w:line="360" w:lineRule="auto"/>
        <w:ind w:left="360"/>
        <w:jc w:val="both"/>
        <w:rPr>
          <w:rFonts w:ascii="Century Gothic" w:hAnsi="Century Gothic"/>
          <w:i/>
          <w:iCs/>
          <w:sz w:val="24"/>
          <w:szCs w:val="24"/>
        </w:rPr>
      </w:pPr>
    </w:p>
    <w:p w14:paraId="2EE9E668" w14:textId="77777777" w:rsidR="00504875" w:rsidRDefault="00504875" w:rsidP="00504875">
      <w:pPr>
        <w:pStyle w:val="ListParagraph"/>
        <w:spacing w:after="40" w:line="360" w:lineRule="auto"/>
        <w:ind w:left="360"/>
        <w:jc w:val="both"/>
        <w:rPr>
          <w:rFonts w:ascii="Century Gothic" w:hAnsi="Century Gothic"/>
          <w:i/>
          <w:iCs/>
          <w:sz w:val="24"/>
          <w:szCs w:val="24"/>
        </w:rPr>
      </w:pPr>
    </w:p>
    <w:p w14:paraId="4A3B9BE2" w14:textId="77777777" w:rsidR="00504875" w:rsidRDefault="00504875" w:rsidP="00504875">
      <w:pPr>
        <w:pStyle w:val="ListParagraph"/>
        <w:spacing w:after="40" w:line="360" w:lineRule="auto"/>
        <w:ind w:left="360"/>
        <w:jc w:val="both"/>
        <w:rPr>
          <w:rFonts w:ascii="Century Gothic" w:hAnsi="Century Gothic"/>
          <w:i/>
          <w:iCs/>
          <w:sz w:val="24"/>
          <w:szCs w:val="24"/>
        </w:rPr>
      </w:pPr>
    </w:p>
    <w:p w14:paraId="5A7AD29E" w14:textId="77777777" w:rsidR="00504875" w:rsidRDefault="00504875" w:rsidP="00504875">
      <w:pPr>
        <w:pStyle w:val="ListParagraph"/>
        <w:spacing w:after="40" w:line="360" w:lineRule="auto"/>
        <w:ind w:left="360"/>
        <w:jc w:val="both"/>
        <w:rPr>
          <w:rFonts w:ascii="Century Gothic" w:hAnsi="Century Gothic"/>
          <w:i/>
          <w:iCs/>
          <w:sz w:val="24"/>
          <w:szCs w:val="24"/>
        </w:rPr>
      </w:pPr>
    </w:p>
    <w:p w14:paraId="25958121" w14:textId="77777777" w:rsidR="00770E23" w:rsidRDefault="00770E23" w:rsidP="00504875">
      <w:pPr>
        <w:pStyle w:val="ListParagraph"/>
        <w:spacing w:after="40" w:line="360" w:lineRule="auto"/>
        <w:ind w:left="360"/>
        <w:jc w:val="both"/>
        <w:rPr>
          <w:rFonts w:ascii="Century Gothic" w:hAnsi="Century Gothic"/>
          <w:i/>
          <w:iCs/>
          <w:sz w:val="24"/>
          <w:szCs w:val="24"/>
        </w:rPr>
      </w:pPr>
    </w:p>
    <w:p w14:paraId="49E656EF" w14:textId="77777777" w:rsidR="00504875" w:rsidRDefault="00504875" w:rsidP="00504875">
      <w:pPr>
        <w:pStyle w:val="ListParagraph"/>
        <w:spacing w:after="40" w:line="360" w:lineRule="auto"/>
        <w:ind w:left="360"/>
        <w:jc w:val="both"/>
        <w:rPr>
          <w:rFonts w:ascii="Century Gothic" w:hAnsi="Century Gothic"/>
          <w:i/>
          <w:iCs/>
          <w:sz w:val="24"/>
          <w:szCs w:val="24"/>
        </w:rPr>
      </w:pPr>
    </w:p>
    <w:p w14:paraId="7302CC71" w14:textId="77777777" w:rsidR="00504875" w:rsidRPr="00504875" w:rsidRDefault="00504875" w:rsidP="00504875">
      <w:pPr>
        <w:pStyle w:val="ListParagraph"/>
        <w:spacing w:after="40" w:line="360" w:lineRule="auto"/>
        <w:ind w:left="360"/>
        <w:jc w:val="both"/>
        <w:rPr>
          <w:rFonts w:ascii="Century Gothic" w:hAnsi="Century Gothic"/>
          <w:bCs/>
          <w:i/>
          <w:iCs/>
          <w:sz w:val="24"/>
          <w:szCs w:val="24"/>
        </w:rPr>
      </w:pPr>
    </w:p>
    <w:p w14:paraId="3BFD16EF" w14:textId="06C1486D" w:rsidR="00222B4E" w:rsidRPr="00311941" w:rsidRDefault="003652DE" w:rsidP="00B6575C">
      <w:pPr>
        <w:pStyle w:val="ListParagraph"/>
        <w:numPr>
          <w:ilvl w:val="0"/>
          <w:numId w:val="10"/>
        </w:numPr>
        <w:shd w:val="clear" w:color="auto" w:fill="1B2A6B"/>
        <w:spacing w:before="260" w:after="80" w:line="360" w:lineRule="auto"/>
        <w:rPr>
          <w:rFonts w:ascii="Century Gothic" w:hAnsi="Century Gothic"/>
          <w:b/>
          <w:sz w:val="28"/>
          <w:szCs w:val="28"/>
        </w:rPr>
      </w:pPr>
      <w:r w:rsidRPr="00311941">
        <w:rPr>
          <w:rFonts w:ascii="Century Gothic" w:hAnsi="Century Gothic"/>
          <w:b/>
          <w:sz w:val="28"/>
          <w:szCs w:val="28"/>
        </w:rPr>
        <w:t xml:space="preserve">  Market Structure, Delistings (ZSE → VFEX) and Alternative Assets</w:t>
      </w:r>
    </w:p>
    <w:p w14:paraId="7765A73D" w14:textId="11A67B5E" w:rsidR="00222B4E" w:rsidRPr="0034698D" w:rsidRDefault="003652DE" w:rsidP="0034698D">
      <w:pPr>
        <w:shd w:val="clear" w:color="auto" w:fill="EEF1F8"/>
        <w:spacing w:before="60" w:after="100" w:line="360" w:lineRule="auto"/>
        <w:ind w:left="144" w:right="144"/>
        <w:rPr>
          <w:rFonts w:ascii="Century Gothic" w:hAnsi="Century Gothic"/>
          <w:sz w:val="24"/>
          <w:szCs w:val="24"/>
        </w:rPr>
      </w:pPr>
      <w:r w:rsidRPr="0034698D">
        <w:rPr>
          <w:rFonts w:ascii="Century Gothic" w:hAnsi="Century Gothic"/>
          <w:b/>
          <w:sz w:val="24"/>
          <w:szCs w:val="24"/>
        </w:rPr>
        <w:t xml:space="preserve">Q:  </w:t>
      </w:r>
      <w:r w:rsidRPr="0034698D">
        <w:rPr>
          <w:rFonts w:ascii="Century Gothic" w:hAnsi="Century Gothic"/>
          <w:i/>
          <w:sz w:val="24"/>
          <w:szCs w:val="24"/>
        </w:rPr>
        <w:t>What regulatory adjustments is IPEC considering to address the compliance risks arising from delistings, the migration to the VFEX, and breaches of the private-equity limit?</w:t>
      </w:r>
      <w:r w:rsidR="00A91FA3">
        <w:rPr>
          <w:rFonts w:ascii="Century Gothic" w:hAnsi="Century Gothic"/>
          <w:i/>
          <w:sz w:val="24"/>
          <w:szCs w:val="24"/>
        </w:rPr>
        <w:t xml:space="preserve"> </w:t>
      </w:r>
      <w:r w:rsidR="00A91FA3" w:rsidRPr="00A91FA3">
        <w:rPr>
          <w:rFonts w:ascii="Century Gothic" w:hAnsi="Century Gothic"/>
          <w:i/>
          <w:sz w:val="24"/>
          <w:szCs w:val="24"/>
        </w:rPr>
        <w:t>How will minority investor protection be strengthened?</w:t>
      </w:r>
    </w:p>
    <w:p w14:paraId="33F5C73A" w14:textId="77777777" w:rsidR="003D143D" w:rsidRDefault="003D143D" w:rsidP="003D143D">
      <w:pPr>
        <w:pStyle w:val="ListParagraph"/>
        <w:spacing w:after="160" w:line="360" w:lineRule="auto"/>
        <w:ind w:left="360"/>
        <w:jc w:val="both"/>
        <w:rPr>
          <w:rFonts w:ascii="Century Gothic" w:hAnsi="Century Gothic"/>
          <w:i/>
          <w:iCs/>
        </w:rPr>
      </w:pPr>
    </w:p>
    <w:p w14:paraId="01E29F47" w14:textId="23133C1C" w:rsidR="004C1277" w:rsidRPr="004C1277" w:rsidRDefault="004C1277" w:rsidP="004C1277">
      <w:pPr>
        <w:pStyle w:val="ListParagraph"/>
        <w:numPr>
          <w:ilvl w:val="0"/>
          <w:numId w:val="16"/>
        </w:numPr>
        <w:spacing w:after="160" w:line="360" w:lineRule="auto"/>
        <w:jc w:val="both"/>
        <w:rPr>
          <w:rFonts w:ascii="Century Gothic" w:hAnsi="Century Gothic"/>
          <w:i/>
          <w:iCs/>
        </w:rPr>
      </w:pPr>
      <w:r w:rsidRPr="004C1277">
        <w:rPr>
          <w:rFonts w:ascii="Century Gothic" w:hAnsi="Century Gothic"/>
          <w:i/>
          <w:iCs/>
        </w:rPr>
        <w:t xml:space="preserve">27 delistings </w:t>
      </w:r>
      <w:r w:rsidR="001815A9">
        <w:rPr>
          <w:rFonts w:ascii="Century Gothic" w:hAnsi="Century Gothic"/>
          <w:i/>
          <w:iCs/>
        </w:rPr>
        <w:t xml:space="preserve">from ZSE </w:t>
      </w:r>
      <w:r w:rsidRPr="004C1277">
        <w:rPr>
          <w:rFonts w:ascii="Century Gothic" w:hAnsi="Century Gothic"/>
          <w:i/>
          <w:iCs/>
        </w:rPr>
        <w:t xml:space="preserve">since 2020, of which 13 re-listed on </w:t>
      </w:r>
      <w:proofErr w:type="gramStart"/>
      <w:r w:rsidRPr="004C1277">
        <w:rPr>
          <w:rFonts w:ascii="Century Gothic" w:hAnsi="Century Gothic"/>
          <w:i/>
          <w:iCs/>
        </w:rPr>
        <w:t>VFEX,  with</w:t>
      </w:r>
      <w:proofErr w:type="gramEnd"/>
      <w:r w:rsidRPr="004C1277">
        <w:rPr>
          <w:rFonts w:ascii="Century Gothic" w:hAnsi="Century Gothic"/>
          <w:i/>
          <w:iCs/>
        </w:rPr>
        <w:t xml:space="preserve"> the remaining majority going private</w:t>
      </w:r>
    </w:p>
    <w:p w14:paraId="6E052475" w14:textId="77777777" w:rsidR="004C1277" w:rsidRPr="004C1277" w:rsidRDefault="004C1277" w:rsidP="004C1277">
      <w:pPr>
        <w:pStyle w:val="ListParagraph"/>
        <w:numPr>
          <w:ilvl w:val="0"/>
          <w:numId w:val="16"/>
        </w:numPr>
        <w:spacing w:after="160" w:line="360" w:lineRule="auto"/>
        <w:jc w:val="both"/>
        <w:rPr>
          <w:rFonts w:ascii="Century Gothic" w:hAnsi="Century Gothic"/>
          <w:i/>
          <w:iCs/>
        </w:rPr>
      </w:pPr>
      <w:r w:rsidRPr="004C1277">
        <w:rPr>
          <w:rFonts w:ascii="Century Gothic" w:hAnsi="Century Gothic"/>
          <w:i/>
          <w:iCs/>
        </w:rPr>
        <w:t>a delisting reclassifies a holding from quoted equity to unlisted/private equity for regulatory purposes without any active decision by the trustees or insurer — an involuntary breach, not a prudential failure.</w:t>
      </w:r>
    </w:p>
    <w:p w14:paraId="56548927" w14:textId="77777777" w:rsidR="004C1277" w:rsidRPr="004C1277" w:rsidRDefault="004C1277" w:rsidP="004C1277">
      <w:pPr>
        <w:pStyle w:val="ListParagraph"/>
        <w:numPr>
          <w:ilvl w:val="0"/>
          <w:numId w:val="16"/>
        </w:numPr>
        <w:spacing w:after="160" w:line="360" w:lineRule="auto"/>
        <w:jc w:val="both"/>
        <w:rPr>
          <w:rFonts w:ascii="Century Gothic" w:hAnsi="Century Gothic"/>
          <w:i/>
          <w:iCs/>
        </w:rPr>
      </w:pPr>
      <w:r w:rsidRPr="004C1277">
        <w:rPr>
          <w:rFonts w:ascii="Century Gothic" w:hAnsi="Century Gothic"/>
          <w:i/>
          <w:iCs/>
        </w:rPr>
        <w:t>However, a delisting does not suspend the fund’s duty to comply with investment limits and prudent-person requirements</w:t>
      </w:r>
    </w:p>
    <w:p w14:paraId="041E7643" w14:textId="77777777" w:rsidR="004C1277" w:rsidRPr="004C1277" w:rsidRDefault="004C1277" w:rsidP="004C1277">
      <w:pPr>
        <w:pStyle w:val="ListParagraph"/>
        <w:numPr>
          <w:ilvl w:val="0"/>
          <w:numId w:val="16"/>
        </w:numPr>
        <w:spacing w:after="160" w:line="360" w:lineRule="auto"/>
        <w:jc w:val="both"/>
        <w:rPr>
          <w:rFonts w:ascii="Century Gothic" w:hAnsi="Century Gothic"/>
          <w:i/>
          <w:iCs/>
        </w:rPr>
      </w:pPr>
      <w:r w:rsidRPr="004C1277">
        <w:rPr>
          <w:rFonts w:ascii="Century Gothic" w:hAnsi="Century Gothic"/>
          <w:i/>
          <w:iCs/>
        </w:rPr>
        <w:t xml:space="preserve">Regulatory fears/concerns on delisted companies that become private entities are as </w:t>
      </w:r>
      <w:proofErr w:type="gramStart"/>
      <w:r w:rsidRPr="004C1277">
        <w:rPr>
          <w:rFonts w:ascii="Century Gothic" w:hAnsi="Century Gothic"/>
          <w:i/>
          <w:iCs/>
        </w:rPr>
        <w:t>follows:-</w:t>
      </w:r>
      <w:proofErr w:type="gramEnd"/>
    </w:p>
    <w:p w14:paraId="1FAB9AB2" w14:textId="77777777" w:rsidR="004C1277" w:rsidRPr="004C1277" w:rsidRDefault="004C1277" w:rsidP="004C1277">
      <w:pPr>
        <w:pStyle w:val="ListParagraph"/>
        <w:numPr>
          <w:ilvl w:val="1"/>
          <w:numId w:val="16"/>
        </w:numPr>
        <w:spacing w:after="160" w:line="360" w:lineRule="auto"/>
        <w:jc w:val="both"/>
        <w:rPr>
          <w:rFonts w:ascii="Century Gothic" w:hAnsi="Century Gothic"/>
          <w:i/>
          <w:iCs/>
        </w:rPr>
      </w:pPr>
      <w:r w:rsidRPr="004C1277">
        <w:rPr>
          <w:rFonts w:ascii="Century Gothic" w:hAnsi="Century Gothic"/>
          <w:i/>
          <w:iCs/>
        </w:rPr>
        <w:t>Valuation transparency</w:t>
      </w:r>
    </w:p>
    <w:p w14:paraId="155A548A" w14:textId="77777777" w:rsidR="004C1277" w:rsidRPr="004C1277" w:rsidRDefault="004C1277" w:rsidP="004C1277">
      <w:pPr>
        <w:pStyle w:val="ListParagraph"/>
        <w:numPr>
          <w:ilvl w:val="1"/>
          <w:numId w:val="16"/>
        </w:numPr>
        <w:spacing w:after="160" w:line="360" w:lineRule="auto"/>
        <w:jc w:val="both"/>
        <w:rPr>
          <w:rFonts w:ascii="Century Gothic" w:hAnsi="Century Gothic"/>
          <w:i/>
          <w:iCs/>
        </w:rPr>
      </w:pPr>
      <w:r w:rsidRPr="004C1277">
        <w:rPr>
          <w:rFonts w:ascii="Century Gothic" w:hAnsi="Century Gothic"/>
          <w:i/>
          <w:iCs/>
        </w:rPr>
        <w:t>Governance</w:t>
      </w:r>
    </w:p>
    <w:p w14:paraId="4569FC9D" w14:textId="77777777" w:rsidR="004C1277" w:rsidRPr="004C1277" w:rsidRDefault="004C1277" w:rsidP="004C1277">
      <w:pPr>
        <w:pStyle w:val="ListParagraph"/>
        <w:numPr>
          <w:ilvl w:val="1"/>
          <w:numId w:val="16"/>
        </w:numPr>
        <w:spacing w:after="160" w:line="360" w:lineRule="auto"/>
        <w:jc w:val="both"/>
        <w:rPr>
          <w:rFonts w:ascii="Century Gothic" w:hAnsi="Century Gothic"/>
          <w:i/>
          <w:iCs/>
        </w:rPr>
      </w:pPr>
      <w:r w:rsidRPr="004C1277">
        <w:rPr>
          <w:rFonts w:ascii="Century Gothic" w:hAnsi="Century Gothic"/>
          <w:i/>
          <w:iCs/>
        </w:rPr>
        <w:t xml:space="preserve">Liquidity </w:t>
      </w:r>
    </w:p>
    <w:p w14:paraId="1E52FCCB" w14:textId="77777777" w:rsidR="004C1277" w:rsidRPr="000F40A8" w:rsidRDefault="004C1277" w:rsidP="000F40A8">
      <w:pPr>
        <w:spacing w:line="360" w:lineRule="auto"/>
        <w:jc w:val="both"/>
        <w:rPr>
          <w:rFonts w:ascii="Century Gothic" w:hAnsi="Century Gothic"/>
          <w:b/>
          <w:bCs/>
          <w:i/>
          <w:iCs/>
        </w:rPr>
      </w:pPr>
      <w:r w:rsidRPr="000F40A8">
        <w:rPr>
          <w:rFonts w:ascii="Century Gothic" w:hAnsi="Century Gothic"/>
          <w:b/>
          <w:bCs/>
          <w:i/>
          <w:iCs/>
        </w:rPr>
        <w:t>Regulatory Adjustments</w:t>
      </w:r>
    </w:p>
    <w:p w14:paraId="70B8C5E5" w14:textId="0220A14D" w:rsidR="004C1277" w:rsidRDefault="004C1277" w:rsidP="004C1277">
      <w:pPr>
        <w:pStyle w:val="ListParagraph"/>
        <w:numPr>
          <w:ilvl w:val="0"/>
          <w:numId w:val="16"/>
        </w:numPr>
        <w:spacing w:after="160" w:line="360" w:lineRule="auto"/>
        <w:jc w:val="both"/>
        <w:rPr>
          <w:rFonts w:ascii="Century Gothic" w:hAnsi="Century Gothic"/>
          <w:i/>
          <w:iCs/>
        </w:rPr>
      </w:pPr>
      <w:r w:rsidRPr="004C1277">
        <w:rPr>
          <w:rFonts w:ascii="Century Gothic" w:hAnsi="Century Gothic"/>
          <w:b/>
          <w:bCs/>
          <w:i/>
          <w:iCs/>
        </w:rPr>
        <w:t>Compliance grace periods of up to 2 year</w:t>
      </w:r>
      <w:r w:rsidRPr="004C1277">
        <w:rPr>
          <w:rFonts w:ascii="Century Gothic" w:hAnsi="Century Gothic"/>
          <w:i/>
          <w:iCs/>
        </w:rPr>
        <w:t>s to comply with the 15</w:t>
      </w:r>
      <w:proofErr w:type="gramStart"/>
      <w:r w:rsidRPr="004C1277">
        <w:rPr>
          <w:rFonts w:ascii="Century Gothic" w:hAnsi="Century Gothic"/>
          <w:i/>
          <w:iCs/>
        </w:rPr>
        <w:t>%  exposure</w:t>
      </w:r>
      <w:proofErr w:type="gramEnd"/>
      <w:r w:rsidRPr="004C1277">
        <w:rPr>
          <w:rFonts w:ascii="Century Gothic" w:hAnsi="Century Gothic"/>
          <w:i/>
          <w:iCs/>
        </w:rPr>
        <w:t xml:space="preserve"> limit manage the risk of forced sales – applies to investment holdings that become genuinely unlisted (National Foods-type, or Econet), exclude or discount the involuntary legacy exposure from the 15% calculation so funds are not forced into a fire-sale</w:t>
      </w:r>
      <w:r w:rsidR="005D6C17">
        <w:rPr>
          <w:rFonts w:ascii="Century Gothic" w:hAnsi="Century Gothic"/>
          <w:i/>
          <w:iCs/>
        </w:rPr>
        <w:t>.</w:t>
      </w:r>
    </w:p>
    <w:p w14:paraId="6C562C62" w14:textId="02B6E4A3" w:rsidR="005D6C17" w:rsidRDefault="005D6C17" w:rsidP="004C1277">
      <w:pPr>
        <w:pStyle w:val="ListParagraph"/>
        <w:numPr>
          <w:ilvl w:val="0"/>
          <w:numId w:val="16"/>
        </w:numPr>
        <w:spacing w:after="160" w:line="360" w:lineRule="auto"/>
        <w:jc w:val="both"/>
        <w:rPr>
          <w:rFonts w:ascii="Century Gothic" w:hAnsi="Century Gothic"/>
          <w:i/>
          <w:iCs/>
        </w:rPr>
      </w:pPr>
      <w:r w:rsidRPr="00595314">
        <w:rPr>
          <w:rFonts w:ascii="Century Gothic" w:hAnsi="Century Gothic"/>
          <w:i/>
          <w:iCs/>
        </w:rPr>
        <w:t>Mea</w:t>
      </w:r>
      <w:r w:rsidR="00595314">
        <w:rPr>
          <w:rFonts w:ascii="Century Gothic" w:hAnsi="Century Gothic"/>
          <w:i/>
          <w:iCs/>
        </w:rPr>
        <w:t>n</w:t>
      </w:r>
      <w:r w:rsidRPr="00595314">
        <w:rPr>
          <w:rFonts w:ascii="Century Gothic" w:hAnsi="Century Gothic"/>
          <w:i/>
          <w:iCs/>
        </w:rPr>
        <w:t xml:space="preserve">while, we do acknowledge the proposal from the market to increase private equity exposure to 20%. </w:t>
      </w:r>
      <w:r w:rsidR="00273EA3">
        <w:rPr>
          <w:rFonts w:ascii="Century Gothic" w:hAnsi="Century Gothic"/>
          <w:i/>
          <w:iCs/>
        </w:rPr>
        <w:t xml:space="preserve">However, the </w:t>
      </w:r>
      <w:r w:rsidR="00C457A2">
        <w:rPr>
          <w:rFonts w:ascii="Century Gothic" w:hAnsi="Century Gothic"/>
          <w:i/>
          <w:iCs/>
        </w:rPr>
        <w:t>average industry exposure to PE is currently at 6%, which is much lower than the current cap.</w:t>
      </w:r>
    </w:p>
    <w:p w14:paraId="40A40134" w14:textId="2BBC7ED1" w:rsidR="00C457A2" w:rsidRDefault="00C457A2" w:rsidP="004C1277">
      <w:pPr>
        <w:pStyle w:val="ListParagraph"/>
        <w:numPr>
          <w:ilvl w:val="0"/>
          <w:numId w:val="16"/>
        </w:numPr>
        <w:spacing w:after="160" w:line="360" w:lineRule="auto"/>
        <w:jc w:val="both"/>
        <w:rPr>
          <w:rFonts w:ascii="Century Gothic" w:hAnsi="Century Gothic"/>
          <w:i/>
          <w:iCs/>
        </w:rPr>
      </w:pPr>
      <w:r>
        <w:rPr>
          <w:rFonts w:ascii="Century Gothic" w:hAnsi="Century Gothic"/>
          <w:i/>
          <w:iCs/>
        </w:rPr>
        <w:t>Review will be considered after assessing the performance of the current private equity investment</w:t>
      </w:r>
    </w:p>
    <w:p w14:paraId="7B8CCD56" w14:textId="77777777" w:rsidR="004C1277" w:rsidRPr="004C1277" w:rsidRDefault="004C1277" w:rsidP="004C1277">
      <w:pPr>
        <w:pStyle w:val="ListParagraph"/>
        <w:numPr>
          <w:ilvl w:val="0"/>
          <w:numId w:val="16"/>
        </w:numPr>
        <w:spacing w:after="160" w:line="360" w:lineRule="auto"/>
        <w:jc w:val="both"/>
        <w:rPr>
          <w:rFonts w:ascii="Century Gothic" w:hAnsi="Century Gothic"/>
          <w:i/>
          <w:iCs/>
        </w:rPr>
      </w:pPr>
      <w:r w:rsidRPr="004C1277">
        <w:rPr>
          <w:rFonts w:ascii="Century Gothic" w:hAnsi="Century Gothic"/>
          <w:b/>
          <w:bCs/>
          <w:i/>
          <w:iCs/>
        </w:rPr>
        <w:t>Enforcing the requirement for Independent fair-valuation of private equity</w:t>
      </w:r>
      <w:r w:rsidRPr="004C1277">
        <w:rPr>
          <w:rFonts w:ascii="Century Gothic" w:hAnsi="Century Gothic"/>
          <w:i/>
          <w:iCs/>
        </w:rPr>
        <w:t xml:space="preserve"> – have been working with RBZ and SECZIM on a joint Guideline on Private Equity and Venture Capital – whose intention is to enhance governance, accountability and transparency</w:t>
      </w:r>
    </w:p>
    <w:p w14:paraId="63AE52DA" w14:textId="77777777" w:rsidR="004C1277" w:rsidRPr="004C1277" w:rsidRDefault="004C1277" w:rsidP="004C1277">
      <w:pPr>
        <w:pStyle w:val="ListParagraph"/>
        <w:numPr>
          <w:ilvl w:val="0"/>
          <w:numId w:val="16"/>
        </w:numPr>
        <w:spacing w:after="160" w:line="360" w:lineRule="auto"/>
        <w:jc w:val="both"/>
        <w:rPr>
          <w:rFonts w:ascii="Century Gothic" w:hAnsi="Century Gothic"/>
          <w:i/>
          <w:iCs/>
        </w:rPr>
      </w:pPr>
      <w:r w:rsidRPr="004C1277">
        <w:rPr>
          <w:rFonts w:ascii="Century Gothic" w:hAnsi="Century Gothic"/>
          <w:b/>
          <w:bCs/>
          <w:i/>
          <w:iCs/>
        </w:rPr>
        <w:lastRenderedPageBreak/>
        <w:t>Protection of minority shareholders</w:t>
      </w:r>
      <w:r w:rsidRPr="004C1277">
        <w:rPr>
          <w:rFonts w:ascii="Century Gothic" w:hAnsi="Century Gothic"/>
          <w:i/>
          <w:iCs/>
        </w:rPr>
        <w:t xml:space="preserve"> - a condition precedent to SECZIM for approving any voluntary delisting, is to offer exit mechanisms voluntarily. We are of the view that this should be included as part of listing rules/ prescribed in securities regulations</w:t>
      </w:r>
    </w:p>
    <w:p w14:paraId="31AD63B7" w14:textId="77777777" w:rsidR="004C1277" w:rsidRPr="004C1277" w:rsidRDefault="004C1277" w:rsidP="004C1277">
      <w:pPr>
        <w:pStyle w:val="ListParagraph"/>
        <w:numPr>
          <w:ilvl w:val="0"/>
          <w:numId w:val="16"/>
        </w:numPr>
        <w:spacing w:after="160" w:line="360" w:lineRule="auto"/>
        <w:jc w:val="both"/>
        <w:rPr>
          <w:rFonts w:ascii="Century Gothic" w:hAnsi="Century Gothic"/>
          <w:i/>
          <w:iCs/>
        </w:rPr>
      </w:pPr>
      <w:r w:rsidRPr="004C1277">
        <w:rPr>
          <w:rFonts w:ascii="Century Gothic" w:hAnsi="Century Gothic"/>
          <w:b/>
          <w:bCs/>
          <w:i/>
          <w:iCs/>
        </w:rPr>
        <w:t>Minimum notice period</w:t>
      </w:r>
      <w:r w:rsidRPr="004C1277">
        <w:rPr>
          <w:rFonts w:ascii="Century Gothic" w:hAnsi="Century Gothic"/>
          <w:i/>
          <w:iCs/>
        </w:rPr>
        <w:t xml:space="preserve"> - between a delisting becoming unconditional and its effective date, long enough for institutional holders to act through normal governance process</w:t>
      </w:r>
    </w:p>
    <w:p w14:paraId="63D73A3F" w14:textId="77777777" w:rsidR="004C1277" w:rsidRPr="004C1277" w:rsidRDefault="004C1277" w:rsidP="004C1277">
      <w:pPr>
        <w:pStyle w:val="ListParagraph"/>
        <w:numPr>
          <w:ilvl w:val="0"/>
          <w:numId w:val="17"/>
        </w:numPr>
        <w:spacing w:after="160" w:line="278" w:lineRule="auto"/>
        <w:jc w:val="both"/>
        <w:textAlignment w:val="baseline"/>
        <w:rPr>
          <w:rFonts w:ascii="Century Gothic" w:eastAsia="Times New Roman" w:hAnsi="Century Gothic" w:cs="Times New Roman"/>
          <w:i/>
          <w:iCs/>
          <w:lang w:eastAsia="en-ZW"/>
        </w:rPr>
      </w:pPr>
      <w:r w:rsidRPr="004C1277">
        <w:rPr>
          <w:rFonts w:ascii="Century Gothic" w:hAnsi="Century Gothic"/>
          <w:i/>
          <w:iCs/>
        </w:rPr>
        <w:t>The Companies and Other Business Entities Act [Chapter 24:31] remains relevant before and after a delisting, including section 40, which permits qualifying minority shareholders to request an investigation into a company’s affairs.</w:t>
      </w:r>
    </w:p>
    <w:p w14:paraId="24A943F4" w14:textId="77777777" w:rsidR="00754498" w:rsidRDefault="00754498" w:rsidP="0034698D">
      <w:pPr>
        <w:spacing w:before="120" w:after="40" w:line="360" w:lineRule="auto"/>
        <w:rPr>
          <w:rFonts w:ascii="Century Gothic" w:hAnsi="Century Gothic"/>
          <w:b/>
          <w:sz w:val="24"/>
          <w:szCs w:val="24"/>
        </w:rPr>
      </w:pPr>
    </w:p>
    <w:p w14:paraId="7FBA8976" w14:textId="1CF77D8E" w:rsidR="00222B4E" w:rsidRPr="00311941" w:rsidRDefault="003652DE" w:rsidP="00D46775">
      <w:pPr>
        <w:pStyle w:val="ListParagraph"/>
        <w:numPr>
          <w:ilvl w:val="0"/>
          <w:numId w:val="10"/>
        </w:numPr>
        <w:shd w:val="clear" w:color="auto" w:fill="1B2A6B"/>
        <w:spacing w:before="260" w:after="80" w:line="360" w:lineRule="auto"/>
        <w:rPr>
          <w:rFonts w:ascii="Century Gothic" w:hAnsi="Century Gothic"/>
          <w:b/>
          <w:sz w:val="28"/>
          <w:szCs w:val="28"/>
        </w:rPr>
      </w:pPr>
      <w:r w:rsidRPr="00311941">
        <w:rPr>
          <w:rFonts w:ascii="Century Gothic" w:hAnsi="Century Gothic"/>
          <w:b/>
          <w:sz w:val="28"/>
          <w:szCs w:val="28"/>
        </w:rPr>
        <w:t xml:space="preserve">  The Policyholder Protection Fund</w:t>
      </w:r>
    </w:p>
    <w:p w14:paraId="32387173" w14:textId="77777777" w:rsidR="00222B4E" w:rsidRPr="0034698D" w:rsidRDefault="003652DE" w:rsidP="0034698D">
      <w:pPr>
        <w:shd w:val="clear" w:color="auto" w:fill="EEF1F8"/>
        <w:spacing w:before="60" w:after="100" w:line="360" w:lineRule="auto"/>
        <w:ind w:left="144" w:right="144"/>
        <w:rPr>
          <w:rFonts w:ascii="Century Gothic" w:hAnsi="Century Gothic"/>
          <w:sz w:val="24"/>
          <w:szCs w:val="24"/>
        </w:rPr>
      </w:pPr>
      <w:r w:rsidRPr="0034698D">
        <w:rPr>
          <w:rFonts w:ascii="Century Gothic" w:hAnsi="Century Gothic"/>
          <w:b/>
          <w:sz w:val="24"/>
          <w:szCs w:val="24"/>
        </w:rPr>
        <w:t xml:space="preserve">Q:  </w:t>
      </w:r>
      <w:r w:rsidRPr="0034698D">
        <w:rPr>
          <w:rFonts w:ascii="Century Gothic" w:hAnsi="Century Gothic"/>
          <w:i/>
          <w:sz w:val="24"/>
          <w:szCs w:val="24"/>
        </w:rPr>
        <w:t>What governance model is IPEC considering for the Policyholder Protection Fund, and how will contributions be structured?</w:t>
      </w:r>
    </w:p>
    <w:p w14:paraId="711F180D" w14:textId="6E9BB9B5" w:rsidR="0034698D" w:rsidRPr="00D46775" w:rsidRDefault="003652DE" w:rsidP="004E1443">
      <w:pPr>
        <w:pStyle w:val="ListParagraph"/>
        <w:numPr>
          <w:ilvl w:val="0"/>
          <w:numId w:val="17"/>
        </w:numPr>
        <w:spacing w:after="160" w:line="278" w:lineRule="auto"/>
        <w:jc w:val="both"/>
        <w:textAlignment w:val="baseline"/>
        <w:rPr>
          <w:rFonts w:ascii="Century Gothic" w:hAnsi="Century Gothic"/>
          <w:sz w:val="24"/>
          <w:szCs w:val="24"/>
        </w:rPr>
      </w:pPr>
      <w:r w:rsidRPr="00D46775">
        <w:rPr>
          <w:rFonts w:ascii="Century Gothic" w:hAnsi="Century Gothic"/>
          <w:sz w:val="24"/>
          <w:szCs w:val="24"/>
        </w:rPr>
        <w:t xml:space="preserve">The Insurance and Pensions Commission Amendment Act provides for the establishment of a Policyholder Protection Fund as a backstop for policyholders and, in the </w:t>
      </w:r>
      <w:r w:rsidR="0018071E" w:rsidRPr="00D46775">
        <w:rPr>
          <w:rFonts w:ascii="Century Gothic" w:hAnsi="Century Gothic"/>
          <w:sz w:val="24"/>
          <w:szCs w:val="24"/>
        </w:rPr>
        <w:t>pension’s</w:t>
      </w:r>
      <w:r w:rsidRPr="00D46775">
        <w:rPr>
          <w:rFonts w:ascii="Century Gothic" w:hAnsi="Century Gothic"/>
          <w:sz w:val="24"/>
          <w:szCs w:val="24"/>
        </w:rPr>
        <w:t xml:space="preserve"> context, for members where a regulated entity fails. </w:t>
      </w:r>
    </w:p>
    <w:p w14:paraId="51A67ED5" w14:textId="1F38AB7B" w:rsidR="00222B4E" w:rsidRPr="0034698D" w:rsidRDefault="003652DE" w:rsidP="004E1443">
      <w:pPr>
        <w:pStyle w:val="ListParagraph"/>
        <w:numPr>
          <w:ilvl w:val="0"/>
          <w:numId w:val="17"/>
        </w:numPr>
        <w:spacing w:after="160" w:line="278" w:lineRule="auto"/>
        <w:jc w:val="both"/>
        <w:textAlignment w:val="baseline"/>
        <w:rPr>
          <w:rFonts w:ascii="Century Gothic" w:hAnsi="Century Gothic"/>
          <w:sz w:val="24"/>
          <w:szCs w:val="24"/>
        </w:rPr>
      </w:pPr>
      <w:r w:rsidRPr="0034698D">
        <w:rPr>
          <w:rFonts w:ascii="Century Gothic" w:hAnsi="Century Gothic"/>
          <w:sz w:val="24"/>
          <w:szCs w:val="24"/>
        </w:rPr>
        <w:t xml:space="preserve">The design </w:t>
      </w:r>
      <w:r w:rsidR="00D710AD">
        <w:rPr>
          <w:rFonts w:ascii="Century Gothic" w:hAnsi="Century Gothic"/>
          <w:sz w:val="24"/>
          <w:szCs w:val="24"/>
        </w:rPr>
        <w:t xml:space="preserve">of the fund will </w:t>
      </w:r>
      <w:proofErr w:type="gramStart"/>
      <w:r w:rsidRPr="0034698D">
        <w:rPr>
          <w:rFonts w:ascii="Century Gothic" w:hAnsi="Century Gothic"/>
          <w:sz w:val="24"/>
          <w:szCs w:val="24"/>
        </w:rPr>
        <w:t>anchored</w:t>
      </w:r>
      <w:proofErr w:type="gramEnd"/>
      <w:r w:rsidRPr="0034698D">
        <w:rPr>
          <w:rFonts w:ascii="Century Gothic" w:hAnsi="Century Gothic"/>
          <w:sz w:val="24"/>
          <w:szCs w:val="24"/>
        </w:rPr>
        <w:t xml:space="preserve"> on two principles: institutional independence, so that the Fund commands public confidence; and contribution fairness, so that the levy is sustainable without overburdening any class of contributor.</w:t>
      </w:r>
    </w:p>
    <w:p w14:paraId="7B5C98DA" w14:textId="77777777" w:rsidR="00222B4E" w:rsidRPr="0034698D" w:rsidRDefault="003652DE" w:rsidP="0034698D">
      <w:pPr>
        <w:spacing w:before="120" w:after="40" w:line="360" w:lineRule="auto"/>
        <w:rPr>
          <w:rFonts w:ascii="Century Gothic" w:hAnsi="Century Gothic"/>
          <w:sz w:val="24"/>
          <w:szCs w:val="24"/>
        </w:rPr>
      </w:pPr>
      <w:r w:rsidRPr="0034698D">
        <w:rPr>
          <w:rFonts w:ascii="Century Gothic" w:hAnsi="Century Gothic"/>
          <w:b/>
          <w:sz w:val="24"/>
          <w:szCs w:val="24"/>
        </w:rPr>
        <w:t>Governance model</w:t>
      </w:r>
    </w:p>
    <w:p w14:paraId="2A60DD7B" w14:textId="77777777" w:rsidR="00222B4E" w:rsidRPr="0034698D" w:rsidRDefault="003652DE" w:rsidP="004E1443">
      <w:pPr>
        <w:pStyle w:val="ListParagraph"/>
        <w:numPr>
          <w:ilvl w:val="0"/>
          <w:numId w:val="17"/>
        </w:numPr>
        <w:spacing w:after="160" w:line="278" w:lineRule="auto"/>
        <w:jc w:val="both"/>
        <w:textAlignment w:val="baseline"/>
        <w:rPr>
          <w:rFonts w:ascii="Century Gothic" w:hAnsi="Century Gothic"/>
          <w:sz w:val="24"/>
          <w:szCs w:val="24"/>
        </w:rPr>
      </w:pPr>
      <w:r w:rsidRPr="004E1443">
        <w:rPr>
          <w:rFonts w:ascii="Century Gothic" w:hAnsi="Century Gothic"/>
          <w:i/>
          <w:iCs/>
        </w:rPr>
        <w:t>Legal</w:t>
      </w:r>
      <w:r w:rsidRPr="00D46775">
        <w:rPr>
          <w:rFonts w:ascii="Century Gothic" w:hAnsi="Century Gothic"/>
          <w:sz w:val="24"/>
          <w:szCs w:val="24"/>
        </w:rPr>
        <w:t xml:space="preserve"> form: </w:t>
      </w:r>
      <w:r w:rsidRPr="0034698D">
        <w:rPr>
          <w:rFonts w:ascii="Century Gothic" w:hAnsi="Century Gothic"/>
          <w:sz w:val="24"/>
          <w:szCs w:val="24"/>
        </w:rPr>
        <w:t>the Fund is proposed to operate as an autonomous statutory body corporate, per Section 23</w:t>
      </w:r>
      <w:proofErr w:type="gramStart"/>
      <w:r w:rsidRPr="0034698D">
        <w:rPr>
          <w:rFonts w:ascii="Century Gothic" w:hAnsi="Century Gothic"/>
          <w:sz w:val="24"/>
          <w:szCs w:val="24"/>
        </w:rPr>
        <w:t>F(</w:t>
      </w:r>
      <w:proofErr w:type="gramEnd"/>
      <w:r w:rsidRPr="0034698D">
        <w:rPr>
          <w:rFonts w:ascii="Century Gothic" w:hAnsi="Century Gothic"/>
          <w:sz w:val="24"/>
          <w:szCs w:val="24"/>
        </w:rPr>
        <w:t>2) of the IPEC Amendment Act, with its own governance separate from the Commission’s operational structures.</w:t>
      </w:r>
    </w:p>
    <w:p w14:paraId="611D7BF1" w14:textId="05CF8650" w:rsidR="00222B4E" w:rsidRPr="0034698D" w:rsidRDefault="003652DE" w:rsidP="004E1443">
      <w:pPr>
        <w:pStyle w:val="ListParagraph"/>
        <w:numPr>
          <w:ilvl w:val="0"/>
          <w:numId w:val="17"/>
        </w:numPr>
        <w:spacing w:after="160" w:line="278" w:lineRule="auto"/>
        <w:jc w:val="both"/>
        <w:textAlignment w:val="baseline"/>
        <w:rPr>
          <w:rFonts w:ascii="Century Gothic" w:hAnsi="Century Gothic"/>
          <w:sz w:val="24"/>
          <w:szCs w:val="24"/>
        </w:rPr>
      </w:pPr>
      <w:r w:rsidRPr="00D46775">
        <w:rPr>
          <w:rFonts w:ascii="Century Gothic" w:hAnsi="Century Gothic"/>
          <w:sz w:val="24"/>
          <w:szCs w:val="24"/>
        </w:rPr>
        <w:t xml:space="preserve">Board: </w:t>
      </w:r>
      <w:r w:rsidRPr="0034698D">
        <w:rPr>
          <w:rFonts w:ascii="Century Gothic" w:hAnsi="Century Gothic"/>
          <w:sz w:val="24"/>
          <w:szCs w:val="24"/>
        </w:rPr>
        <w:t>up to eight members appointed by the Minister of Finance</w:t>
      </w:r>
      <w:r w:rsidR="00260A2E">
        <w:rPr>
          <w:rFonts w:ascii="Century Gothic" w:hAnsi="Century Gothic"/>
          <w:sz w:val="24"/>
          <w:szCs w:val="24"/>
        </w:rPr>
        <w:t xml:space="preserve">, Economic Development </w:t>
      </w:r>
      <w:r w:rsidR="00370680">
        <w:rPr>
          <w:rFonts w:ascii="Century Gothic" w:hAnsi="Century Gothic"/>
          <w:sz w:val="24"/>
          <w:szCs w:val="24"/>
        </w:rPr>
        <w:t xml:space="preserve">and Investment Promotion </w:t>
      </w:r>
      <w:r w:rsidR="00260A2E">
        <w:rPr>
          <w:rFonts w:ascii="Century Gothic" w:hAnsi="Century Gothic"/>
          <w:sz w:val="24"/>
          <w:szCs w:val="24"/>
        </w:rPr>
        <w:t>(MoF</w:t>
      </w:r>
      <w:r w:rsidR="00370680">
        <w:rPr>
          <w:rFonts w:ascii="Century Gothic" w:hAnsi="Century Gothic"/>
          <w:sz w:val="24"/>
          <w:szCs w:val="24"/>
        </w:rPr>
        <w:t>EDIP</w:t>
      </w:r>
      <w:r w:rsidR="00260A2E">
        <w:rPr>
          <w:rFonts w:ascii="Century Gothic" w:hAnsi="Century Gothic"/>
          <w:sz w:val="24"/>
          <w:szCs w:val="24"/>
        </w:rPr>
        <w:t>)</w:t>
      </w:r>
      <w:r w:rsidRPr="0034698D">
        <w:rPr>
          <w:rFonts w:ascii="Century Gothic" w:hAnsi="Century Gothic"/>
          <w:sz w:val="24"/>
          <w:szCs w:val="24"/>
        </w:rPr>
        <w:t>, drawing one representative each from IPEC, the Ministry, and the relevant industry bodies, together with independent members.</w:t>
      </w:r>
    </w:p>
    <w:p w14:paraId="4328B899" w14:textId="77777777" w:rsidR="00222B4E" w:rsidRPr="0034698D" w:rsidRDefault="003652DE" w:rsidP="004E1443">
      <w:pPr>
        <w:pStyle w:val="ListParagraph"/>
        <w:numPr>
          <w:ilvl w:val="0"/>
          <w:numId w:val="17"/>
        </w:numPr>
        <w:spacing w:after="160" w:line="278" w:lineRule="auto"/>
        <w:jc w:val="both"/>
        <w:textAlignment w:val="baseline"/>
        <w:rPr>
          <w:rFonts w:ascii="Century Gothic" w:hAnsi="Century Gothic"/>
          <w:sz w:val="24"/>
          <w:szCs w:val="24"/>
        </w:rPr>
      </w:pPr>
      <w:r w:rsidRPr="00D46775">
        <w:rPr>
          <w:rFonts w:ascii="Century Gothic" w:hAnsi="Century Gothic"/>
          <w:sz w:val="24"/>
          <w:szCs w:val="24"/>
        </w:rPr>
        <w:t xml:space="preserve">Neutrality: </w:t>
      </w:r>
      <w:proofErr w:type="gramStart"/>
      <w:r w:rsidRPr="0034698D">
        <w:rPr>
          <w:rFonts w:ascii="Century Gothic" w:hAnsi="Century Gothic"/>
          <w:sz w:val="24"/>
          <w:szCs w:val="24"/>
        </w:rPr>
        <w:t>the</w:t>
      </w:r>
      <w:proofErr w:type="gramEnd"/>
      <w:r w:rsidRPr="0034698D">
        <w:rPr>
          <w:rFonts w:ascii="Century Gothic" w:hAnsi="Century Gothic"/>
          <w:sz w:val="24"/>
          <w:szCs w:val="24"/>
        </w:rPr>
        <w:t xml:space="preserve"> Chair and Vice-Chair to be appointed from among the independent </w:t>
      </w:r>
      <w:r w:rsidRPr="004E1443">
        <w:rPr>
          <w:rFonts w:ascii="Century Gothic" w:hAnsi="Century Gothic"/>
          <w:i/>
          <w:iCs/>
        </w:rPr>
        <w:t>members</w:t>
      </w:r>
      <w:r w:rsidRPr="0034698D">
        <w:rPr>
          <w:rFonts w:ascii="Century Gothic" w:hAnsi="Century Gothic"/>
          <w:sz w:val="24"/>
          <w:szCs w:val="24"/>
        </w:rPr>
        <w:t xml:space="preserve"> specifically, to preserve the Fund’s neutrality and guard against conflicts of interest.</w:t>
      </w:r>
    </w:p>
    <w:p w14:paraId="0C3E9C94" w14:textId="77777777" w:rsidR="00222B4E" w:rsidRPr="0034698D" w:rsidRDefault="003652DE" w:rsidP="004E1443">
      <w:pPr>
        <w:pStyle w:val="ListParagraph"/>
        <w:numPr>
          <w:ilvl w:val="0"/>
          <w:numId w:val="17"/>
        </w:numPr>
        <w:spacing w:after="160" w:line="278" w:lineRule="auto"/>
        <w:jc w:val="both"/>
        <w:textAlignment w:val="baseline"/>
        <w:rPr>
          <w:rFonts w:ascii="Century Gothic" w:hAnsi="Century Gothic"/>
          <w:sz w:val="24"/>
          <w:szCs w:val="24"/>
        </w:rPr>
      </w:pPr>
      <w:r w:rsidRPr="00D46775">
        <w:rPr>
          <w:rFonts w:ascii="Century Gothic" w:hAnsi="Century Gothic"/>
          <w:sz w:val="24"/>
          <w:szCs w:val="24"/>
        </w:rPr>
        <w:t xml:space="preserve">Fit-and-proper and accountability: </w:t>
      </w:r>
      <w:r w:rsidRPr="0034698D">
        <w:rPr>
          <w:rFonts w:ascii="Century Gothic" w:hAnsi="Century Gothic"/>
          <w:sz w:val="24"/>
          <w:szCs w:val="24"/>
        </w:rPr>
        <w:t xml:space="preserve">Board members must meet fit-and-proper </w:t>
      </w:r>
      <w:r w:rsidRPr="004E1443">
        <w:rPr>
          <w:rFonts w:ascii="Century Gothic" w:hAnsi="Century Gothic"/>
          <w:i/>
          <w:iCs/>
        </w:rPr>
        <w:t>standards</w:t>
      </w:r>
      <w:r w:rsidRPr="0034698D">
        <w:rPr>
          <w:rFonts w:ascii="Century Gothic" w:hAnsi="Century Gothic"/>
          <w:sz w:val="24"/>
          <w:szCs w:val="24"/>
        </w:rPr>
        <w:t xml:space="preserve"> under the Public Entities Corporate Governance Act and the IPEC Act; the Board appoints the CEO through a competitive, publicly advertised process, subject to the Minister’s concurrence and a minimum qualification and experience threshold.</w:t>
      </w:r>
    </w:p>
    <w:p w14:paraId="1D3C2220" w14:textId="77777777" w:rsidR="000F40A8" w:rsidRDefault="000F40A8" w:rsidP="0034698D">
      <w:pPr>
        <w:spacing w:before="120" w:after="40" w:line="360" w:lineRule="auto"/>
        <w:rPr>
          <w:rFonts w:ascii="Century Gothic" w:hAnsi="Century Gothic"/>
          <w:b/>
          <w:sz w:val="24"/>
          <w:szCs w:val="24"/>
        </w:rPr>
      </w:pPr>
    </w:p>
    <w:p w14:paraId="590988D2" w14:textId="21DFAEA8" w:rsidR="00222B4E" w:rsidRPr="0034698D" w:rsidRDefault="003652DE" w:rsidP="0034698D">
      <w:pPr>
        <w:spacing w:before="120" w:after="40" w:line="360" w:lineRule="auto"/>
        <w:rPr>
          <w:rFonts w:ascii="Century Gothic" w:hAnsi="Century Gothic"/>
          <w:sz w:val="24"/>
          <w:szCs w:val="24"/>
        </w:rPr>
      </w:pPr>
      <w:r w:rsidRPr="0034698D">
        <w:rPr>
          <w:rFonts w:ascii="Century Gothic" w:hAnsi="Century Gothic"/>
          <w:b/>
          <w:sz w:val="24"/>
          <w:szCs w:val="24"/>
        </w:rPr>
        <w:lastRenderedPageBreak/>
        <w:t>Contribution structure — a phased hybrid model</w:t>
      </w:r>
    </w:p>
    <w:p w14:paraId="5DD2BCD3" w14:textId="77777777" w:rsidR="00222B4E" w:rsidRPr="0034698D" w:rsidRDefault="003652DE" w:rsidP="004E1443">
      <w:pPr>
        <w:pStyle w:val="ListParagraph"/>
        <w:numPr>
          <w:ilvl w:val="0"/>
          <w:numId w:val="17"/>
        </w:numPr>
        <w:spacing w:after="160" w:line="278" w:lineRule="auto"/>
        <w:jc w:val="both"/>
        <w:textAlignment w:val="baseline"/>
        <w:rPr>
          <w:rFonts w:ascii="Century Gothic" w:hAnsi="Century Gothic"/>
          <w:sz w:val="24"/>
          <w:szCs w:val="24"/>
        </w:rPr>
      </w:pPr>
      <w:r w:rsidRPr="0034698D">
        <w:rPr>
          <w:rFonts w:ascii="Century Gothic" w:hAnsi="Century Gothic"/>
          <w:sz w:val="24"/>
          <w:szCs w:val="24"/>
        </w:rPr>
        <w:t>To balance the need to build the Fund quickly against the burden on contributors, the Commission proposes a phased approach:</w:t>
      </w:r>
    </w:p>
    <w:p w14:paraId="78A2D100" w14:textId="77777777" w:rsidR="00222B4E" w:rsidRPr="0034698D" w:rsidRDefault="003652DE" w:rsidP="00D46775">
      <w:pPr>
        <w:pStyle w:val="ListBullet"/>
        <w:tabs>
          <w:tab w:val="clear" w:pos="360"/>
          <w:tab w:val="num" w:pos="1080"/>
        </w:tabs>
        <w:spacing w:after="60" w:line="360" w:lineRule="auto"/>
        <w:ind w:left="1080"/>
        <w:jc w:val="both"/>
        <w:rPr>
          <w:rFonts w:ascii="Century Gothic" w:hAnsi="Century Gothic"/>
          <w:sz w:val="24"/>
          <w:szCs w:val="24"/>
        </w:rPr>
      </w:pPr>
      <w:r w:rsidRPr="0034698D">
        <w:rPr>
          <w:rFonts w:ascii="Century Gothic" w:hAnsi="Century Gothic"/>
          <w:b/>
          <w:sz w:val="24"/>
          <w:szCs w:val="24"/>
        </w:rPr>
        <w:t xml:space="preserve">Phase 1 (2027–2029): </w:t>
      </w:r>
      <w:r w:rsidRPr="0034698D">
        <w:rPr>
          <w:rFonts w:ascii="Century Gothic" w:hAnsi="Century Gothic"/>
          <w:sz w:val="24"/>
          <w:szCs w:val="24"/>
        </w:rPr>
        <w:t>a simple flat levy, to accumulate the Fund to a credible size within a defined period.</w:t>
      </w:r>
    </w:p>
    <w:p w14:paraId="1938F1DA" w14:textId="18FF4D3B" w:rsidR="00222B4E" w:rsidRPr="0034698D" w:rsidRDefault="003652DE" w:rsidP="00D46775">
      <w:pPr>
        <w:pStyle w:val="ListBullet"/>
        <w:tabs>
          <w:tab w:val="clear" w:pos="360"/>
          <w:tab w:val="num" w:pos="1080"/>
        </w:tabs>
        <w:spacing w:after="60" w:line="360" w:lineRule="auto"/>
        <w:ind w:left="1080"/>
        <w:jc w:val="both"/>
        <w:rPr>
          <w:rFonts w:ascii="Century Gothic" w:hAnsi="Century Gothic"/>
          <w:sz w:val="24"/>
          <w:szCs w:val="24"/>
        </w:rPr>
      </w:pPr>
      <w:r w:rsidRPr="0034698D">
        <w:rPr>
          <w:rFonts w:ascii="Century Gothic" w:hAnsi="Century Gothic"/>
          <w:b/>
          <w:sz w:val="24"/>
          <w:szCs w:val="24"/>
        </w:rPr>
        <w:t xml:space="preserve">Phase 2 (from 2030): </w:t>
      </w:r>
      <w:r w:rsidRPr="0034698D">
        <w:rPr>
          <w:rFonts w:ascii="Century Gothic" w:hAnsi="Century Gothic"/>
          <w:sz w:val="24"/>
          <w:szCs w:val="24"/>
        </w:rPr>
        <w:t>transition to a risk-based levy, with rates varying by solvency, governance, liquidity and risk profile, once the Commission’s risk-rating capability is fully operational</w:t>
      </w:r>
      <w:r w:rsidR="007D0470">
        <w:rPr>
          <w:rFonts w:ascii="Century Gothic" w:hAnsi="Century Gothic"/>
          <w:sz w:val="24"/>
          <w:szCs w:val="24"/>
        </w:rPr>
        <w:t xml:space="preserve">, </w:t>
      </w:r>
      <w:r w:rsidRPr="0034698D">
        <w:rPr>
          <w:rFonts w:ascii="Century Gothic" w:hAnsi="Century Gothic"/>
          <w:sz w:val="24"/>
          <w:szCs w:val="24"/>
        </w:rPr>
        <w:t>rewarding well-run entities and pricing risk where it sits.</w:t>
      </w:r>
    </w:p>
    <w:p w14:paraId="5361B23A" w14:textId="77777777" w:rsidR="0034698D" w:rsidRPr="0034698D" w:rsidRDefault="0034698D" w:rsidP="0034698D">
      <w:pPr>
        <w:pStyle w:val="ListBullet"/>
        <w:numPr>
          <w:ilvl w:val="0"/>
          <w:numId w:val="0"/>
        </w:numPr>
        <w:spacing w:after="60" w:line="360" w:lineRule="auto"/>
        <w:ind w:left="360" w:hanging="360"/>
        <w:jc w:val="both"/>
        <w:rPr>
          <w:rFonts w:ascii="Century Gothic" w:hAnsi="Century Gothic"/>
          <w:sz w:val="24"/>
          <w:szCs w:val="24"/>
        </w:rPr>
      </w:pPr>
    </w:p>
    <w:p w14:paraId="38A2ED9F" w14:textId="77777777" w:rsidR="00222B4E" w:rsidRPr="0034698D" w:rsidRDefault="003652DE" w:rsidP="0034698D">
      <w:pPr>
        <w:spacing w:before="120" w:after="40" w:line="360" w:lineRule="auto"/>
        <w:rPr>
          <w:rFonts w:ascii="Century Gothic" w:hAnsi="Century Gothic"/>
          <w:sz w:val="24"/>
          <w:szCs w:val="24"/>
        </w:rPr>
      </w:pPr>
      <w:r w:rsidRPr="0034698D">
        <w:rPr>
          <w:rFonts w:ascii="Century Gothic" w:hAnsi="Century Gothic"/>
          <w:b/>
          <w:sz w:val="24"/>
          <w:szCs w:val="24"/>
        </w:rPr>
        <w:t>Recommended initial levy rates</w:t>
      </w:r>
    </w:p>
    <w:tbl>
      <w:tblPr>
        <w:tblStyle w:val="TableGrid"/>
        <w:tblW w:w="0" w:type="auto"/>
        <w:jc w:val="center"/>
        <w:tblLook w:val="04A0" w:firstRow="1" w:lastRow="0" w:firstColumn="1" w:lastColumn="0" w:noHBand="0" w:noVBand="1"/>
      </w:tblPr>
      <w:tblGrid>
        <w:gridCol w:w="6221"/>
        <w:gridCol w:w="4258"/>
      </w:tblGrid>
      <w:tr w:rsidR="00222B4E" w:rsidRPr="0034698D" w14:paraId="5DFE5B3B" w14:textId="77777777">
        <w:trPr>
          <w:jc w:val="center"/>
        </w:trPr>
        <w:tc>
          <w:tcPr>
            <w:tcW w:w="6336" w:type="dxa"/>
            <w:shd w:val="clear" w:color="auto" w:fill="1B2A6B"/>
          </w:tcPr>
          <w:p w14:paraId="5D82B3CB" w14:textId="77777777" w:rsidR="00222B4E" w:rsidRPr="0034698D" w:rsidRDefault="003652DE" w:rsidP="0034698D">
            <w:pPr>
              <w:spacing w:line="360" w:lineRule="auto"/>
              <w:rPr>
                <w:rFonts w:ascii="Century Gothic" w:hAnsi="Century Gothic"/>
                <w:sz w:val="24"/>
                <w:szCs w:val="24"/>
              </w:rPr>
            </w:pPr>
            <w:r w:rsidRPr="0034698D">
              <w:rPr>
                <w:rFonts w:ascii="Century Gothic" w:hAnsi="Century Gothic"/>
                <w:b/>
                <w:sz w:val="24"/>
                <w:szCs w:val="24"/>
              </w:rPr>
              <w:t>Contributor class</w:t>
            </w:r>
          </w:p>
        </w:tc>
        <w:tc>
          <w:tcPr>
            <w:tcW w:w="4320" w:type="dxa"/>
            <w:shd w:val="clear" w:color="auto" w:fill="1B2A6B"/>
          </w:tcPr>
          <w:p w14:paraId="7A385413" w14:textId="77777777" w:rsidR="00222B4E" w:rsidRPr="0034698D" w:rsidRDefault="003652DE" w:rsidP="0034698D">
            <w:pPr>
              <w:spacing w:line="360" w:lineRule="auto"/>
              <w:rPr>
                <w:rFonts w:ascii="Century Gothic" w:hAnsi="Century Gothic"/>
                <w:sz w:val="24"/>
                <w:szCs w:val="24"/>
              </w:rPr>
            </w:pPr>
            <w:r w:rsidRPr="0034698D">
              <w:rPr>
                <w:rFonts w:ascii="Century Gothic" w:hAnsi="Century Gothic"/>
                <w:b/>
                <w:sz w:val="24"/>
                <w:szCs w:val="24"/>
              </w:rPr>
              <w:t>Initial levy</w:t>
            </w:r>
          </w:p>
        </w:tc>
      </w:tr>
      <w:tr w:rsidR="00222B4E" w:rsidRPr="0034698D" w14:paraId="703C23D7" w14:textId="77777777">
        <w:trPr>
          <w:jc w:val="center"/>
        </w:trPr>
        <w:tc>
          <w:tcPr>
            <w:tcW w:w="6336" w:type="dxa"/>
          </w:tcPr>
          <w:p w14:paraId="01FEC9DE" w14:textId="77777777" w:rsidR="00222B4E" w:rsidRPr="0034698D" w:rsidRDefault="003652DE" w:rsidP="0034698D">
            <w:pPr>
              <w:spacing w:line="360" w:lineRule="auto"/>
              <w:rPr>
                <w:rFonts w:ascii="Century Gothic" w:hAnsi="Century Gothic"/>
                <w:sz w:val="24"/>
                <w:szCs w:val="24"/>
              </w:rPr>
            </w:pPr>
            <w:r w:rsidRPr="0034698D">
              <w:rPr>
                <w:rFonts w:ascii="Century Gothic" w:hAnsi="Century Gothic"/>
                <w:b/>
                <w:sz w:val="24"/>
                <w:szCs w:val="24"/>
              </w:rPr>
              <w:t>Long-term insurers</w:t>
            </w:r>
          </w:p>
        </w:tc>
        <w:tc>
          <w:tcPr>
            <w:tcW w:w="4320" w:type="dxa"/>
          </w:tcPr>
          <w:p w14:paraId="2692FE8D" w14:textId="77777777" w:rsidR="00222B4E" w:rsidRPr="0034698D" w:rsidRDefault="003652DE" w:rsidP="0034698D">
            <w:pPr>
              <w:spacing w:line="360" w:lineRule="auto"/>
              <w:rPr>
                <w:rFonts w:ascii="Century Gothic" w:hAnsi="Century Gothic"/>
                <w:sz w:val="24"/>
                <w:szCs w:val="24"/>
              </w:rPr>
            </w:pPr>
            <w:r w:rsidRPr="0034698D">
              <w:rPr>
                <w:rFonts w:ascii="Century Gothic" w:hAnsi="Century Gothic"/>
                <w:sz w:val="24"/>
                <w:szCs w:val="24"/>
              </w:rPr>
              <w:t>0.20% of gross written premiums</w:t>
            </w:r>
          </w:p>
        </w:tc>
      </w:tr>
      <w:tr w:rsidR="00222B4E" w:rsidRPr="0034698D" w14:paraId="3290AE24" w14:textId="77777777">
        <w:trPr>
          <w:jc w:val="center"/>
        </w:trPr>
        <w:tc>
          <w:tcPr>
            <w:tcW w:w="6336" w:type="dxa"/>
            <w:shd w:val="clear" w:color="auto" w:fill="F4F5FA"/>
          </w:tcPr>
          <w:p w14:paraId="4E37DDED" w14:textId="77777777" w:rsidR="00222B4E" w:rsidRPr="0034698D" w:rsidRDefault="003652DE" w:rsidP="0034698D">
            <w:pPr>
              <w:spacing w:line="360" w:lineRule="auto"/>
              <w:rPr>
                <w:rFonts w:ascii="Century Gothic" w:hAnsi="Century Gothic"/>
                <w:sz w:val="24"/>
                <w:szCs w:val="24"/>
              </w:rPr>
            </w:pPr>
            <w:r w:rsidRPr="0034698D">
              <w:rPr>
                <w:rFonts w:ascii="Century Gothic" w:hAnsi="Century Gothic"/>
                <w:b/>
                <w:sz w:val="24"/>
                <w:szCs w:val="24"/>
              </w:rPr>
              <w:t>Short-term insurers</w:t>
            </w:r>
          </w:p>
        </w:tc>
        <w:tc>
          <w:tcPr>
            <w:tcW w:w="4320" w:type="dxa"/>
            <w:shd w:val="clear" w:color="auto" w:fill="F4F5FA"/>
          </w:tcPr>
          <w:p w14:paraId="50499973" w14:textId="77777777" w:rsidR="00222B4E" w:rsidRPr="0034698D" w:rsidRDefault="003652DE" w:rsidP="0034698D">
            <w:pPr>
              <w:spacing w:line="360" w:lineRule="auto"/>
              <w:rPr>
                <w:rFonts w:ascii="Century Gothic" w:hAnsi="Century Gothic"/>
                <w:sz w:val="24"/>
                <w:szCs w:val="24"/>
              </w:rPr>
            </w:pPr>
            <w:r w:rsidRPr="0034698D">
              <w:rPr>
                <w:rFonts w:ascii="Century Gothic" w:hAnsi="Century Gothic"/>
                <w:sz w:val="24"/>
                <w:szCs w:val="24"/>
              </w:rPr>
              <w:t>0.20% of gross written premiums</w:t>
            </w:r>
          </w:p>
        </w:tc>
      </w:tr>
      <w:tr w:rsidR="00222B4E" w:rsidRPr="0034698D" w14:paraId="7B88BA36" w14:textId="77777777">
        <w:trPr>
          <w:jc w:val="center"/>
        </w:trPr>
        <w:tc>
          <w:tcPr>
            <w:tcW w:w="6336" w:type="dxa"/>
          </w:tcPr>
          <w:p w14:paraId="73755AFD" w14:textId="77777777" w:rsidR="00222B4E" w:rsidRPr="0034698D" w:rsidRDefault="003652DE" w:rsidP="0034698D">
            <w:pPr>
              <w:spacing w:line="360" w:lineRule="auto"/>
              <w:rPr>
                <w:rFonts w:ascii="Century Gothic" w:hAnsi="Century Gothic"/>
                <w:sz w:val="24"/>
                <w:szCs w:val="24"/>
              </w:rPr>
            </w:pPr>
            <w:r w:rsidRPr="0034698D">
              <w:rPr>
                <w:rFonts w:ascii="Century Gothic" w:hAnsi="Century Gothic"/>
                <w:b/>
                <w:sz w:val="24"/>
                <w:szCs w:val="24"/>
              </w:rPr>
              <w:t>Funeral assurers</w:t>
            </w:r>
          </w:p>
        </w:tc>
        <w:tc>
          <w:tcPr>
            <w:tcW w:w="4320" w:type="dxa"/>
          </w:tcPr>
          <w:p w14:paraId="783099C9" w14:textId="77777777" w:rsidR="00222B4E" w:rsidRPr="0034698D" w:rsidRDefault="003652DE" w:rsidP="0034698D">
            <w:pPr>
              <w:spacing w:line="360" w:lineRule="auto"/>
              <w:rPr>
                <w:rFonts w:ascii="Century Gothic" w:hAnsi="Century Gothic"/>
                <w:sz w:val="24"/>
                <w:szCs w:val="24"/>
              </w:rPr>
            </w:pPr>
            <w:r w:rsidRPr="0034698D">
              <w:rPr>
                <w:rFonts w:ascii="Century Gothic" w:hAnsi="Century Gothic"/>
                <w:sz w:val="24"/>
                <w:szCs w:val="24"/>
              </w:rPr>
              <w:t>0.15% of gross written premiums</w:t>
            </w:r>
          </w:p>
        </w:tc>
      </w:tr>
      <w:tr w:rsidR="00222B4E" w:rsidRPr="0034698D" w14:paraId="39C2A2B2" w14:textId="77777777">
        <w:trPr>
          <w:jc w:val="center"/>
        </w:trPr>
        <w:tc>
          <w:tcPr>
            <w:tcW w:w="6336" w:type="dxa"/>
            <w:shd w:val="clear" w:color="auto" w:fill="FBF3DD"/>
          </w:tcPr>
          <w:p w14:paraId="475CB61C" w14:textId="77777777" w:rsidR="00222B4E" w:rsidRPr="0034698D" w:rsidRDefault="003652DE" w:rsidP="0034698D">
            <w:pPr>
              <w:spacing w:line="360" w:lineRule="auto"/>
              <w:rPr>
                <w:rFonts w:ascii="Century Gothic" w:hAnsi="Century Gothic"/>
                <w:sz w:val="24"/>
                <w:szCs w:val="24"/>
              </w:rPr>
            </w:pPr>
            <w:r w:rsidRPr="0034698D">
              <w:rPr>
                <w:rFonts w:ascii="Century Gothic" w:hAnsi="Century Gothic"/>
                <w:b/>
                <w:sz w:val="24"/>
                <w:szCs w:val="24"/>
              </w:rPr>
              <w:t>Pension / Provident / Retirement Annuity Funds</w:t>
            </w:r>
          </w:p>
        </w:tc>
        <w:tc>
          <w:tcPr>
            <w:tcW w:w="4320" w:type="dxa"/>
            <w:shd w:val="clear" w:color="auto" w:fill="FBF3DD"/>
          </w:tcPr>
          <w:p w14:paraId="4AC319D3" w14:textId="77777777" w:rsidR="00222B4E" w:rsidRPr="0034698D" w:rsidRDefault="003652DE" w:rsidP="0034698D">
            <w:pPr>
              <w:spacing w:line="360" w:lineRule="auto"/>
              <w:rPr>
                <w:rFonts w:ascii="Century Gothic" w:hAnsi="Century Gothic"/>
                <w:sz w:val="24"/>
                <w:szCs w:val="24"/>
              </w:rPr>
            </w:pPr>
            <w:r w:rsidRPr="0034698D">
              <w:rPr>
                <w:rFonts w:ascii="Century Gothic" w:hAnsi="Century Gothic"/>
                <w:sz w:val="24"/>
                <w:szCs w:val="24"/>
              </w:rPr>
              <w:t>0.05% of annual contributions</w:t>
            </w:r>
          </w:p>
        </w:tc>
      </w:tr>
    </w:tbl>
    <w:p w14:paraId="7AE867D8" w14:textId="77777777" w:rsidR="00222B4E" w:rsidRPr="0034698D" w:rsidRDefault="00222B4E" w:rsidP="0034698D">
      <w:pPr>
        <w:spacing w:after="40" w:line="360" w:lineRule="auto"/>
        <w:rPr>
          <w:rFonts w:ascii="Century Gothic" w:hAnsi="Century Gothic"/>
          <w:sz w:val="24"/>
          <w:szCs w:val="24"/>
        </w:rPr>
      </w:pPr>
    </w:p>
    <w:p w14:paraId="65E93A1E" w14:textId="77777777" w:rsidR="0034698D" w:rsidRPr="0034698D" w:rsidRDefault="003652DE" w:rsidP="004E1443">
      <w:pPr>
        <w:pStyle w:val="ListParagraph"/>
        <w:numPr>
          <w:ilvl w:val="0"/>
          <w:numId w:val="17"/>
        </w:numPr>
        <w:spacing w:after="160" w:line="278" w:lineRule="auto"/>
        <w:jc w:val="both"/>
        <w:textAlignment w:val="baseline"/>
        <w:rPr>
          <w:rFonts w:ascii="Century Gothic" w:hAnsi="Century Gothic"/>
          <w:sz w:val="24"/>
          <w:szCs w:val="24"/>
        </w:rPr>
      </w:pPr>
      <w:r w:rsidRPr="0040158A">
        <w:rPr>
          <w:rFonts w:ascii="Century Gothic" w:hAnsi="Century Gothic"/>
          <w:sz w:val="24"/>
          <w:szCs w:val="24"/>
        </w:rPr>
        <w:t xml:space="preserve">Note for Principal Officers: </w:t>
      </w:r>
      <w:r w:rsidRPr="0034698D">
        <w:rPr>
          <w:rFonts w:ascii="Century Gothic" w:hAnsi="Century Gothic"/>
          <w:sz w:val="24"/>
          <w:szCs w:val="24"/>
        </w:rPr>
        <w:t xml:space="preserve">pension funds attract the lowest levy rate of all contributor classes (0.05% of annual contributions). To avoid overburdening the industry, the Commission is considering additional measures, including offsets and phasing, so that the levy does not erode member benefits. </w:t>
      </w:r>
    </w:p>
    <w:p w14:paraId="40E4B9DD" w14:textId="47C83014" w:rsidR="00222B4E" w:rsidRDefault="003652DE" w:rsidP="004E1443">
      <w:pPr>
        <w:pStyle w:val="ListParagraph"/>
        <w:numPr>
          <w:ilvl w:val="0"/>
          <w:numId w:val="17"/>
        </w:numPr>
        <w:spacing w:after="160" w:line="278" w:lineRule="auto"/>
        <w:jc w:val="both"/>
        <w:textAlignment w:val="baseline"/>
        <w:rPr>
          <w:rFonts w:ascii="Century Gothic" w:hAnsi="Century Gothic"/>
          <w:sz w:val="24"/>
          <w:szCs w:val="24"/>
        </w:rPr>
      </w:pPr>
      <w:r w:rsidRPr="0034698D">
        <w:rPr>
          <w:rFonts w:ascii="Century Gothic" w:hAnsi="Century Gothic"/>
          <w:sz w:val="24"/>
          <w:szCs w:val="24"/>
        </w:rPr>
        <w:t>The levy is a member-protection cost, not an administrative charge, and should be treated and disclosed accordingly.</w:t>
      </w:r>
    </w:p>
    <w:p w14:paraId="4692C018" w14:textId="77777777" w:rsidR="00BD37C9" w:rsidRDefault="00BD37C9" w:rsidP="00BD37C9">
      <w:pPr>
        <w:spacing w:after="160" w:line="278" w:lineRule="auto"/>
        <w:jc w:val="both"/>
        <w:textAlignment w:val="baseline"/>
        <w:rPr>
          <w:rFonts w:ascii="Century Gothic" w:hAnsi="Century Gothic"/>
          <w:sz w:val="24"/>
          <w:szCs w:val="24"/>
        </w:rPr>
      </w:pPr>
    </w:p>
    <w:p w14:paraId="4F05C6FE" w14:textId="77777777" w:rsidR="00BD37C9" w:rsidRDefault="00BD37C9" w:rsidP="00BD37C9">
      <w:pPr>
        <w:spacing w:after="160" w:line="278" w:lineRule="auto"/>
        <w:jc w:val="both"/>
        <w:textAlignment w:val="baseline"/>
        <w:rPr>
          <w:rFonts w:ascii="Century Gothic" w:hAnsi="Century Gothic"/>
          <w:sz w:val="24"/>
          <w:szCs w:val="24"/>
        </w:rPr>
      </w:pPr>
    </w:p>
    <w:p w14:paraId="136D28EF" w14:textId="77777777" w:rsidR="00BD37C9" w:rsidRDefault="00BD37C9" w:rsidP="00BD37C9">
      <w:pPr>
        <w:spacing w:after="160" w:line="278" w:lineRule="auto"/>
        <w:jc w:val="both"/>
        <w:textAlignment w:val="baseline"/>
        <w:rPr>
          <w:rFonts w:ascii="Century Gothic" w:hAnsi="Century Gothic"/>
          <w:sz w:val="24"/>
          <w:szCs w:val="24"/>
        </w:rPr>
      </w:pPr>
    </w:p>
    <w:p w14:paraId="61D9D19F" w14:textId="77777777" w:rsidR="00BD37C9" w:rsidRDefault="00BD37C9" w:rsidP="00BD37C9">
      <w:pPr>
        <w:spacing w:after="160" w:line="278" w:lineRule="auto"/>
        <w:jc w:val="both"/>
        <w:textAlignment w:val="baseline"/>
        <w:rPr>
          <w:rFonts w:ascii="Century Gothic" w:hAnsi="Century Gothic"/>
          <w:sz w:val="24"/>
          <w:szCs w:val="24"/>
        </w:rPr>
      </w:pPr>
    </w:p>
    <w:p w14:paraId="7DCCBCB7" w14:textId="77777777" w:rsidR="00BD37C9" w:rsidRDefault="00BD37C9" w:rsidP="00BD37C9">
      <w:pPr>
        <w:spacing w:after="160" w:line="278" w:lineRule="auto"/>
        <w:jc w:val="both"/>
        <w:textAlignment w:val="baseline"/>
        <w:rPr>
          <w:rFonts w:ascii="Century Gothic" w:hAnsi="Century Gothic"/>
          <w:sz w:val="24"/>
          <w:szCs w:val="24"/>
        </w:rPr>
      </w:pPr>
    </w:p>
    <w:p w14:paraId="27647A9A" w14:textId="77777777" w:rsidR="00BD37C9" w:rsidRDefault="00BD37C9" w:rsidP="00BD37C9">
      <w:pPr>
        <w:spacing w:after="160" w:line="278" w:lineRule="auto"/>
        <w:jc w:val="both"/>
        <w:textAlignment w:val="baseline"/>
        <w:rPr>
          <w:rFonts w:ascii="Century Gothic" w:hAnsi="Century Gothic"/>
          <w:sz w:val="24"/>
          <w:szCs w:val="24"/>
        </w:rPr>
      </w:pPr>
    </w:p>
    <w:p w14:paraId="6B849469" w14:textId="77777777" w:rsidR="00BD37C9" w:rsidRPr="00BD37C9" w:rsidRDefault="00BD37C9" w:rsidP="00BD37C9">
      <w:pPr>
        <w:spacing w:after="160" w:line="278" w:lineRule="auto"/>
        <w:jc w:val="both"/>
        <w:textAlignment w:val="baseline"/>
        <w:rPr>
          <w:rFonts w:ascii="Century Gothic" w:hAnsi="Century Gothic"/>
          <w:sz w:val="24"/>
          <w:szCs w:val="24"/>
        </w:rPr>
      </w:pPr>
    </w:p>
    <w:p w14:paraId="21BB1872" w14:textId="6D8D3E44" w:rsidR="00222B4E" w:rsidRPr="0034698D" w:rsidRDefault="003652DE" w:rsidP="0040158A">
      <w:pPr>
        <w:pStyle w:val="ListParagraph"/>
        <w:numPr>
          <w:ilvl w:val="0"/>
          <w:numId w:val="10"/>
        </w:numPr>
        <w:shd w:val="clear" w:color="auto" w:fill="1B2A6B"/>
        <w:spacing w:before="260" w:after="80" w:line="360" w:lineRule="auto"/>
        <w:rPr>
          <w:rFonts w:ascii="Century Gothic" w:hAnsi="Century Gothic"/>
          <w:sz w:val="24"/>
          <w:szCs w:val="24"/>
        </w:rPr>
      </w:pPr>
      <w:r w:rsidRPr="0034698D">
        <w:rPr>
          <w:rFonts w:ascii="Century Gothic" w:hAnsi="Century Gothic"/>
          <w:b/>
          <w:sz w:val="24"/>
          <w:szCs w:val="24"/>
        </w:rPr>
        <w:lastRenderedPageBreak/>
        <w:t xml:space="preserve">  </w:t>
      </w:r>
      <w:r w:rsidRPr="00311941">
        <w:rPr>
          <w:rFonts w:ascii="Century Gothic" w:hAnsi="Century Gothic"/>
          <w:b/>
          <w:sz w:val="28"/>
          <w:szCs w:val="28"/>
        </w:rPr>
        <w:t>The Electronic Supervisory System</w:t>
      </w:r>
    </w:p>
    <w:p w14:paraId="21A599FE" w14:textId="77777777" w:rsidR="00222B4E" w:rsidRPr="0034698D" w:rsidRDefault="003652DE" w:rsidP="0034698D">
      <w:pPr>
        <w:shd w:val="clear" w:color="auto" w:fill="EEF1F8"/>
        <w:spacing w:before="60" w:after="100" w:line="360" w:lineRule="auto"/>
        <w:ind w:left="144" w:right="144"/>
        <w:rPr>
          <w:rFonts w:ascii="Century Gothic" w:hAnsi="Century Gothic"/>
          <w:sz w:val="24"/>
          <w:szCs w:val="24"/>
        </w:rPr>
      </w:pPr>
      <w:r w:rsidRPr="0034698D">
        <w:rPr>
          <w:rFonts w:ascii="Century Gothic" w:hAnsi="Century Gothic"/>
          <w:b/>
          <w:sz w:val="24"/>
          <w:szCs w:val="24"/>
        </w:rPr>
        <w:t xml:space="preserve">Q:  </w:t>
      </w:r>
      <w:r w:rsidRPr="0034698D">
        <w:rPr>
          <w:rFonts w:ascii="Century Gothic" w:hAnsi="Century Gothic"/>
          <w:i/>
          <w:sz w:val="24"/>
          <w:szCs w:val="24"/>
        </w:rPr>
        <w:t>When will IPEC roll out the regulatory requirements for the Electronic Supervisory System, and should pension funds procure or prepare their own systems in anticipation?</w:t>
      </w:r>
    </w:p>
    <w:p w14:paraId="6911712C" w14:textId="28486C48" w:rsidR="00222B4E" w:rsidRPr="0034698D" w:rsidRDefault="00222B4E" w:rsidP="0034698D">
      <w:pPr>
        <w:spacing w:after="40" w:line="360" w:lineRule="auto"/>
        <w:rPr>
          <w:rFonts w:ascii="Century Gothic" w:hAnsi="Century Gothic"/>
          <w:sz w:val="24"/>
          <w:szCs w:val="24"/>
        </w:rPr>
      </w:pPr>
    </w:p>
    <w:p w14:paraId="717CCD05" w14:textId="35009818" w:rsidR="004C1277" w:rsidRPr="004C1277" w:rsidRDefault="004C1277" w:rsidP="004E1443">
      <w:pPr>
        <w:pStyle w:val="ListParagraph"/>
        <w:numPr>
          <w:ilvl w:val="0"/>
          <w:numId w:val="17"/>
        </w:numPr>
        <w:spacing w:after="160" w:line="278" w:lineRule="auto"/>
        <w:jc w:val="both"/>
        <w:textAlignment w:val="baseline"/>
        <w:rPr>
          <w:rFonts w:ascii="Century Gothic" w:hAnsi="Century Gothic"/>
          <w:i/>
          <w:iCs/>
        </w:rPr>
      </w:pPr>
      <w:r w:rsidRPr="004C1277">
        <w:rPr>
          <w:rFonts w:ascii="Century Gothic" w:hAnsi="Century Gothic"/>
          <w:i/>
          <w:iCs/>
        </w:rPr>
        <w:t xml:space="preserve">Let me separate two key ICT projects relating to pensions that we are pursuing, the first one is the Electronic Supervisory System. This is a </w:t>
      </w:r>
      <w:r w:rsidR="009C3BAA" w:rsidRPr="004C1277">
        <w:rPr>
          <w:rFonts w:ascii="Century Gothic" w:hAnsi="Century Gothic"/>
          <w:i/>
          <w:iCs/>
        </w:rPr>
        <w:t>SupTech</w:t>
      </w:r>
      <w:r w:rsidRPr="004C1277">
        <w:rPr>
          <w:rFonts w:ascii="Century Gothic" w:hAnsi="Century Gothic"/>
          <w:i/>
          <w:iCs/>
        </w:rPr>
        <w:t xml:space="preserve"> solution which is meant to assist us as IPEC to </w:t>
      </w:r>
      <w:r w:rsidR="009C3BAA" w:rsidRPr="004E1443">
        <w:rPr>
          <w:rFonts w:ascii="Century Gothic" w:hAnsi="Century Gothic"/>
          <w:sz w:val="24"/>
          <w:szCs w:val="24"/>
        </w:rPr>
        <w:t>supervise</w:t>
      </w:r>
      <w:r w:rsidRPr="004C1277">
        <w:rPr>
          <w:rFonts w:ascii="Century Gothic" w:hAnsi="Century Gothic"/>
          <w:i/>
          <w:iCs/>
        </w:rPr>
        <w:t xml:space="preserve"> the sector. All supervisory functions currently being done manually will be automated and these include, registration, receipt and analysis of supervisory returns, communication with supervised (general letters</w:t>
      </w:r>
      <w:proofErr w:type="gramStart"/>
      <w:r w:rsidRPr="004C1277">
        <w:rPr>
          <w:rFonts w:ascii="Century Gothic" w:hAnsi="Century Gothic"/>
          <w:i/>
          <w:iCs/>
        </w:rPr>
        <w:t>),offsite</w:t>
      </w:r>
      <w:proofErr w:type="gramEnd"/>
      <w:r w:rsidRPr="004C1277">
        <w:rPr>
          <w:rFonts w:ascii="Century Gothic" w:hAnsi="Century Gothic"/>
          <w:i/>
          <w:iCs/>
        </w:rPr>
        <w:t xml:space="preserve"> analysis, including risk identification, risk-rating of supervised entities and  trend analysis, among others.</w:t>
      </w:r>
    </w:p>
    <w:p w14:paraId="26813901" w14:textId="78ECCB4E" w:rsidR="004C1277" w:rsidRPr="004C1277" w:rsidRDefault="004C1277" w:rsidP="004E1443">
      <w:pPr>
        <w:pStyle w:val="ListParagraph"/>
        <w:numPr>
          <w:ilvl w:val="0"/>
          <w:numId w:val="17"/>
        </w:numPr>
        <w:spacing w:after="160" w:line="278" w:lineRule="auto"/>
        <w:jc w:val="both"/>
        <w:textAlignment w:val="baseline"/>
        <w:rPr>
          <w:rFonts w:ascii="Century Gothic" w:hAnsi="Century Gothic"/>
          <w:i/>
          <w:iCs/>
        </w:rPr>
      </w:pPr>
      <w:r w:rsidRPr="004C1277">
        <w:rPr>
          <w:rFonts w:ascii="Century Gothic" w:hAnsi="Century Gothic"/>
          <w:i/>
          <w:iCs/>
        </w:rPr>
        <w:t xml:space="preserve">We are at procurement </w:t>
      </w:r>
      <w:r w:rsidR="009C3BAA" w:rsidRPr="004C1277">
        <w:rPr>
          <w:rFonts w:ascii="Century Gothic" w:hAnsi="Century Gothic"/>
          <w:i/>
          <w:iCs/>
        </w:rPr>
        <w:t>stage,</w:t>
      </w:r>
      <w:r w:rsidRPr="004C1277">
        <w:rPr>
          <w:rFonts w:ascii="Century Gothic" w:hAnsi="Century Gothic"/>
          <w:i/>
          <w:iCs/>
        </w:rPr>
        <w:t xml:space="preserve"> and we are on the verge of </w:t>
      </w:r>
      <w:proofErr w:type="gramStart"/>
      <w:r w:rsidRPr="004C1277">
        <w:rPr>
          <w:rFonts w:ascii="Century Gothic" w:hAnsi="Century Gothic"/>
          <w:i/>
          <w:iCs/>
        </w:rPr>
        <w:t>making a decision</w:t>
      </w:r>
      <w:proofErr w:type="gramEnd"/>
      <w:r w:rsidRPr="004C1277">
        <w:rPr>
          <w:rFonts w:ascii="Century Gothic" w:hAnsi="Century Gothic"/>
          <w:i/>
          <w:iCs/>
        </w:rPr>
        <w:t xml:space="preserve"> before end of the month. Such a system will be integrated to any system of a supervised entity across all sub-sectors of the insurance and pensions industry.</w:t>
      </w:r>
    </w:p>
    <w:p w14:paraId="46749150" w14:textId="77777777" w:rsidR="004C1277" w:rsidRPr="004C1277" w:rsidRDefault="004C1277" w:rsidP="004E1443">
      <w:pPr>
        <w:pStyle w:val="ListParagraph"/>
        <w:numPr>
          <w:ilvl w:val="0"/>
          <w:numId w:val="17"/>
        </w:numPr>
        <w:spacing w:after="160" w:line="278" w:lineRule="auto"/>
        <w:jc w:val="both"/>
        <w:textAlignment w:val="baseline"/>
        <w:rPr>
          <w:rFonts w:ascii="Century Gothic" w:hAnsi="Century Gothic"/>
          <w:i/>
          <w:iCs/>
        </w:rPr>
      </w:pPr>
      <w:r w:rsidRPr="004C1277">
        <w:rPr>
          <w:rFonts w:ascii="Century Gothic" w:hAnsi="Century Gothic"/>
          <w:i/>
          <w:iCs/>
        </w:rPr>
        <w:t>The 2</w:t>
      </w:r>
      <w:r w:rsidRPr="004C1277">
        <w:rPr>
          <w:rFonts w:ascii="Century Gothic" w:hAnsi="Century Gothic"/>
          <w:i/>
          <w:iCs/>
          <w:vertAlign w:val="superscript"/>
        </w:rPr>
        <w:t>nd</w:t>
      </w:r>
      <w:r w:rsidRPr="004C1277">
        <w:rPr>
          <w:rFonts w:ascii="Century Gothic" w:hAnsi="Century Gothic"/>
          <w:i/>
          <w:iCs/>
        </w:rPr>
        <w:t xml:space="preserve"> project is the proposed establishment of a Shared ICT system for pension funds.  In pursuing this </w:t>
      </w:r>
      <w:r w:rsidRPr="004E1443">
        <w:rPr>
          <w:rFonts w:ascii="Century Gothic" w:hAnsi="Century Gothic"/>
          <w:sz w:val="24"/>
          <w:szCs w:val="24"/>
        </w:rPr>
        <w:t>project</w:t>
      </w:r>
      <w:r w:rsidRPr="004C1277">
        <w:rPr>
          <w:rFonts w:ascii="Century Gothic" w:hAnsi="Century Gothic"/>
          <w:i/>
          <w:iCs/>
        </w:rPr>
        <w:t xml:space="preserve">, the Commission adopted a consultative approach and </w:t>
      </w:r>
      <w:proofErr w:type="gramStart"/>
      <w:r w:rsidRPr="004C1277">
        <w:rPr>
          <w:rFonts w:ascii="Century Gothic" w:hAnsi="Century Gothic"/>
          <w:i/>
          <w:iCs/>
        </w:rPr>
        <w:t>a  stakeholder</w:t>
      </w:r>
      <w:proofErr w:type="gramEnd"/>
      <w:r w:rsidRPr="004C1277">
        <w:rPr>
          <w:rFonts w:ascii="Century Gothic" w:hAnsi="Century Gothic"/>
          <w:i/>
          <w:iCs/>
        </w:rPr>
        <w:t xml:space="preserve"> working group comprising current administrators, pension funds, NSSA and the Government Pension Fund was set up. Benchmarking was done and we are seized with making a decision on the </w:t>
      </w:r>
      <w:proofErr w:type="gramStart"/>
      <w:r w:rsidRPr="004C1277">
        <w:rPr>
          <w:rFonts w:ascii="Century Gothic" w:hAnsi="Century Gothic"/>
          <w:i/>
          <w:iCs/>
        </w:rPr>
        <w:t>following:-</w:t>
      </w:r>
      <w:proofErr w:type="gramEnd"/>
    </w:p>
    <w:p w14:paraId="00F77B84" w14:textId="77777777" w:rsidR="004C1277" w:rsidRPr="004C1277" w:rsidRDefault="004C1277" w:rsidP="003D4107">
      <w:pPr>
        <w:spacing w:line="240" w:lineRule="auto"/>
        <w:ind w:left="720"/>
        <w:jc w:val="both"/>
        <w:rPr>
          <w:rFonts w:ascii="Century Gothic" w:hAnsi="Century Gothic"/>
          <w:i/>
          <w:iCs/>
        </w:rPr>
      </w:pPr>
      <w:r w:rsidRPr="004C1277">
        <w:rPr>
          <w:rFonts w:ascii="Century Gothic" w:hAnsi="Century Gothic"/>
          <w:i/>
          <w:iCs/>
        </w:rPr>
        <w:t>1. Model of the shared system – whether a single system for the entire industry or a shared system</w:t>
      </w:r>
    </w:p>
    <w:p w14:paraId="314A1513" w14:textId="77777777" w:rsidR="004C1277" w:rsidRPr="004C1277" w:rsidRDefault="004C1277" w:rsidP="003D4107">
      <w:pPr>
        <w:spacing w:line="240" w:lineRule="auto"/>
        <w:ind w:left="720"/>
        <w:jc w:val="both"/>
        <w:rPr>
          <w:rFonts w:ascii="Century Gothic" w:hAnsi="Century Gothic"/>
          <w:i/>
          <w:iCs/>
        </w:rPr>
      </w:pPr>
      <w:r w:rsidRPr="004C1277">
        <w:rPr>
          <w:rFonts w:ascii="Century Gothic" w:hAnsi="Century Gothic"/>
          <w:i/>
          <w:iCs/>
        </w:rPr>
        <w:t>2. Funding Model</w:t>
      </w:r>
    </w:p>
    <w:p w14:paraId="0217547F" w14:textId="77777777" w:rsidR="004C1277" w:rsidRPr="004C1277" w:rsidRDefault="004C1277" w:rsidP="003D4107">
      <w:pPr>
        <w:spacing w:line="240" w:lineRule="auto"/>
        <w:ind w:left="720"/>
        <w:jc w:val="both"/>
        <w:rPr>
          <w:rFonts w:ascii="Century Gothic" w:hAnsi="Century Gothic"/>
          <w:i/>
          <w:iCs/>
        </w:rPr>
      </w:pPr>
      <w:r w:rsidRPr="004C1277">
        <w:rPr>
          <w:rFonts w:ascii="Century Gothic" w:hAnsi="Century Gothic"/>
          <w:i/>
          <w:iCs/>
        </w:rPr>
        <w:t>3. Timelines</w:t>
      </w:r>
    </w:p>
    <w:p w14:paraId="54113BE7" w14:textId="77777777" w:rsidR="004C1277" w:rsidRPr="003D4107" w:rsidRDefault="004C1277" w:rsidP="004E1443">
      <w:pPr>
        <w:pStyle w:val="ListParagraph"/>
        <w:numPr>
          <w:ilvl w:val="0"/>
          <w:numId w:val="17"/>
        </w:numPr>
        <w:spacing w:after="160" w:line="278" w:lineRule="auto"/>
        <w:jc w:val="both"/>
        <w:textAlignment w:val="baseline"/>
        <w:rPr>
          <w:rFonts w:ascii="Century Gothic" w:hAnsi="Century Gothic"/>
          <w:i/>
          <w:iCs/>
        </w:rPr>
      </w:pPr>
      <w:r w:rsidRPr="003D4107">
        <w:rPr>
          <w:rFonts w:ascii="Century Gothic" w:hAnsi="Century Gothic"/>
          <w:i/>
          <w:iCs/>
        </w:rPr>
        <w:t>As such, we will be guided by the position that will be taken and policy direction on the matter.</w:t>
      </w:r>
    </w:p>
    <w:p w14:paraId="45CE34BD" w14:textId="77777777" w:rsidR="0099704C" w:rsidRPr="003D4107" w:rsidRDefault="004C1277" w:rsidP="0099704C">
      <w:pPr>
        <w:pStyle w:val="ListParagraph"/>
        <w:numPr>
          <w:ilvl w:val="0"/>
          <w:numId w:val="17"/>
        </w:numPr>
        <w:spacing w:after="160" w:line="278" w:lineRule="auto"/>
        <w:jc w:val="both"/>
        <w:textAlignment w:val="baseline"/>
        <w:rPr>
          <w:rFonts w:ascii="Century Gothic" w:hAnsi="Century Gothic"/>
          <w:i/>
          <w:iCs/>
        </w:rPr>
      </w:pPr>
      <w:r w:rsidRPr="003D4107">
        <w:rPr>
          <w:rFonts w:ascii="Century Gothic" w:hAnsi="Century Gothic"/>
          <w:i/>
          <w:iCs/>
          <w:sz w:val="24"/>
          <w:szCs w:val="24"/>
        </w:rPr>
        <w:t>Whatever</w:t>
      </w:r>
      <w:r w:rsidRPr="003D4107">
        <w:rPr>
          <w:rFonts w:ascii="Century Gothic" w:hAnsi="Century Gothic"/>
          <w:i/>
          <w:iCs/>
        </w:rPr>
        <w:t xml:space="preserve"> model to be implemented, this is a project that some countries have taken 3 to 5 years to implement, hence I would not think we can advise pension funds/ administrators to hold off at this stage but take into consideration the plans for a shared system</w:t>
      </w:r>
    </w:p>
    <w:p w14:paraId="07C94210" w14:textId="77777777" w:rsidR="003D4107" w:rsidRPr="003D4107" w:rsidRDefault="003652DE" w:rsidP="003D4107">
      <w:pPr>
        <w:pStyle w:val="ListParagraph"/>
        <w:numPr>
          <w:ilvl w:val="0"/>
          <w:numId w:val="17"/>
        </w:numPr>
        <w:spacing w:after="160" w:line="278" w:lineRule="auto"/>
        <w:jc w:val="both"/>
        <w:textAlignment w:val="baseline"/>
        <w:rPr>
          <w:rFonts w:ascii="Century Gothic" w:hAnsi="Century Gothic"/>
          <w:i/>
          <w:iCs/>
        </w:rPr>
      </w:pPr>
      <w:r w:rsidRPr="003D4107">
        <w:rPr>
          <w:rFonts w:ascii="Century Gothic" w:hAnsi="Century Gothic"/>
          <w:i/>
          <w:iCs/>
          <w:sz w:val="24"/>
          <w:szCs w:val="24"/>
        </w:rPr>
        <w:t>The most valuable step a fund can take now is to improve the quality, completeness and consistency of its data</w:t>
      </w:r>
      <w:r w:rsidR="00196576" w:rsidRPr="003D4107">
        <w:rPr>
          <w:rFonts w:ascii="Century Gothic" w:hAnsi="Century Gothic"/>
          <w:i/>
          <w:iCs/>
          <w:sz w:val="24"/>
          <w:szCs w:val="24"/>
        </w:rPr>
        <w:t xml:space="preserve">; </w:t>
      </w:r>
      <w:r w:rsidRPr="003D4107">
        <w:rPr>
          <w:rFonts w:ascii="Century Gothic" w:hAnsi="Century Gothic"/>
          <w:i/>
          <w:iCs/>
          <w:sz w:val="24"/>
          <w:szCs w:val="24"/>
        </w:rPr>
        <w:t>member records, contribution histories, arrears schedules and financials</w:t>
      </w:r>
      <w:r w:rsidR="00481696" w:rsidRPr="003D4107">
        <w:rPr>
          <w:rFonts w:ascii="Century Gothic" w:hAnsi="Century Gothic"/>
          <w:i/>
          <w:iCs/>
          <w:sz w:val="24"/>
          <w:szCs w:val="24"/>
        </w:rPr>
        <w:t xml:space="preserve">. This is important as </w:t>
      </w:r>
      <w:r w:rsidRPr="003D4107">
        <w:rPr>
          <w:rFonts w:ascii="Century Gothic" w:hAnsi="Century Gothic"/>
          <w:i/>
          <w:iCs/>
          <w:sz w:val="24"/>
          <w:szCs w:val="24"/>
        </w:rPr>
        <w:t>a digital supervisory system will expose data-integrity weaknesses immediately.</w:t>
      </w:r>
    </w:p>
    <w:p w14:paraId="1E594BF0" w14:textId="58392276" w:rsidR="003D4107" w:rsidRPr="003D4107" w:rsidRDefault="00481696" w:rsidP="003D4107">
      <w:pPr>
        <w:pStyle w:val="ListParagraph"/>
        <w:numPr>
          <w:ilvl w:val="0"/>
          <w:numId w:val="17"/>
        </w:numPr>
        <w:spacing w:after="160" w:line="278" w:lineRule="auto"/>
        <w:jc w:val="both"/>
        <w:textAlignment w:val="baseline"/>
        <w:rPr>
          <w:rFonts w:ascii="Century Gothic" w:hAnsi="Century Gothic"/>
          <w:i/>
          <w:iCs/>
        </w:rPr>
      </w:pPr>
      <w:r w:rsidRPr="003D4107">
        <w:rPr>
          <w:rFonts w:ascii="Century Gothic" w:hAnsi="Century Gothic"/>
          <w:i/>
          <w:iCs/>
          <w:sz w:val="24"/>
          <w:szCs w:val="24"/>
        </w:rPr>
        <w:t>The</w:t>
      </w:r>
      <w:r w:rsidR="003652DE" w:rsidRPr="003D4107">
        <w:rPr>
          <w:rFonts w:ascii="Century Gothic" w:hAnsi="Century Gothic"/>
          <w:i/>
          <w:iCs/>
          <w:sz w:val="24"/>
          <w:szCs w:val="24"/>
        </w:rPr>
        <w:t xml:space="preserve"> technical and reporting requirements, including data formats and submission protocols, will be shared with the industry once the procurement process is finalised, with adequate lead time for funds to adapt.</w:t>
      </w:r>
    </w:p>
    <w:p w14:paraId="4EB2A7EF" w14:textId="77777777" w:rsidR="003D4107" w:rsidRDefault="003D4107" w:rsidP="003D4107">
      <w:pPr>
        <w:spacing w:after="160" w:line="278" w:lineRule="auto"/>
        <w:jc w:val="both"/>
        <w:textAlignment w:val="baseline"/>
        <w:rPr>
          <w:rFonts w:ascii="Century Gothic" w:hAnsi="Century Gothic"/>
          <w:i/>
          <w:iCs/>
        </w:rPr>
      </w:pPr>
    </w:p>
    <w:p w14:paraId="136D5F81" w14:textId="77777777" w:rsidR="00AB3B0F" w:rsidRDefault="00AB3B0F" w:rsidP="003D4107">
      <w:pPr>
        <w:spacing w:after="160" w:line="278" w:lineRule="auto"/>
        <w:jc w:val="both"/>
        <w:textAlignment w:val="baseline"/>
        <w:rPr>
          <w:rFonts w:ascii="Century Gothic" w:hAnsi="Century Gothic"/>
          <w:i/>
          <w:iCs/>
        </w:rPr>
      </w:pPr>
    </w:p>
    <w:p w14:paraId="5ECD6559" w14:textId="0F276E53" w:rsidR="00222B4E" w:rsidRPr="0034698D" w:rsidRDefault="003652DE" w:rsidP="00481696">
      <w:pPr>
        <w:pStyle w:val="ListParagraph"/>
        <w:numPr>
          <w:ilvl w:val="0"/>
          <w:numId w:val="10"/>
        </w:numPr>
        <w:shd w:val="clear" w:color="auto" w:fill="1B2A6B"/>
        <w:spacing w:before="260" w:after="80" w:line="360" w:lineRule="auto"/>
        <w:rPr>
          <w:rFonts w:ascii="Century Gothic" w:hAnsi="Century Gothic"/>
          <w:sz w:val="24"/>
          <w:szCs w:val="24"/>
        </w:rPr>
      </w:pPr>
      <w:r w:rsidRPr="0034698D">
        <w:rPr>
          <w:rFonts w:ascii="Century Gothic" w:hAnsi="Century Gothic"/>
          <w:b/>
          <w:sz w:val="24"/>
          <w:szCs w:val="24"/>
        </w:rPr>
        <w:lastRenderedPageBreak/>
        <w:t xml:space="preserve">  </w:t>
      </w:r>
      <w:r w:rsidRPr="00311941">
        <w:rPr>
          <w:rFonts w:ascii="Century Gothic" w:hAnsi="Century Gothic"/>
          <w:b/>
          <w:sz w:val="28"/>
          <w:szCs w:val="28"/>
        </w:rPr>
        <w:t>The Expenses Framework and Administrator Losses</w:t>
      </w:r>
    </w:p>
    <w:p w14:paraId="08B5EA17" w14:textId="77777777" w:rsidR="00222B4E" w:rsidRPr="0034698D" w:rsidRDefault="003652DE" w:rsidP="0034698D">
      <w:pPr>
        <w:shd w:val="clear" w:color="auto" w:fill="EEF1F8"/>
        <w:spacing w:before="60" w:after="100" w:line="360" w:lineRule="auto"/>
        <w:ind w:left="144" w:right="144"/>
        <w:rPr>
          <w:rFonts w:ascii="Century Gothic" w:hAnsi="Century Gothic"/>
          <w:sz w:val="24"/>
          <w:szCs w:val="24"/>
        </w:rPr>
      </w:pPr>
      <w:r w:rsidRPr="0034698D">
        <w:rPr>
          <w:rFonts w:ascii="Century Gothic" w:hAnsi="Century Gothic"/>
          <w:b/>
          <w:sz w:val="24"/>
          <w:szCs w:val="24"/>
        </w:rPr>
        <w:t xml:space="preserve">Q:  </w:t>
      </w:r>
      <w:r w:rsidRPr="0034698D">
        <w:rPr>
          <w:rFonts w:ascii="Century Gothic" w:hAnsi="Century Gothic"/>
          <w:i/>
          <w:sz w:val="24"/>
          <w:szCs w:val="24"/>
        </w:rPr>
        <w:t>Has the Commission engaged administrators to understand the pressures driving reported losses, and what regulatory response is contemplated?</w:t>
      </w:r>
    </w:p>
    <w:p w14:paraId="1B32F46E" w14:textId="77777777" w:rsidR="00580584" w:rsidRDefault="00580584" w:rsidP="004C1277">
      <w:pPr>
        <w:spacing w:after="0" w:line="360" w:lineRule="auto"/>
        <w:jc w:val="both"/>
        <w:textAlignment w:val="baseline"/>
        <w:rPr>
          <w:rFonts w:ascii="Century Gothic" w:eastAsia="Times New Roman" w:hAnsi="Century Gothic" w:cs="Times New Roman"/>
          <w:i/>
          <w:iCs/>
          <w:color w:val="000000"/>
          <w:sz w:val="24"/>
          <w:szCs w:val="24"/>
          <w:lang w:val="en-ZW" w:eastAsia="en-ZW"/>
        </w:rPr>
      </w:pPr>
    </w:p>
    <w:p w14:paraId="0951B5A0" w14:textId="2A83BE94" w:rsidR="00AB3B0F" w:rsidRDefault="00992AB8" w:rsidP="004C1277">
      <w:pPr>
        <w:spacing w:after="0" w:line="360" w:lineRule="auto"/>
        <w:jc w:val="both"/>
        <w:textAlignment w:val="baseline"/>
        <w:rPr>
          <w:rFonts w:ascii="Century Gothic" w:eastAsia="Times New Roman" w:hAnsi="Century Gothic" w:cs="Times New Roman"/>
          <w:i/>
          <w:iCs/>
          <w:color w:val="000000"/>
          <w:sz w:val="24"/>
          <w:szCs w:val="24"/>
          <w:lang w:val="en-ZW" w:eastAsia="en-ZW"/>
        </w:rPr>
      </w:pPr>
      <w:r>
        <w:rPr>
          <w:rFonts w:ascii="Century Gothic" w:eastAsia="Times New Roman" w:hAnsi="Century Gothic" w:cs="Times New Roman"/>
          <w:i/>
          <w:iCs/>
          <w:color w:val="000000"/>
          <w:sz w:val="24"/>
          <w:szCs w:val="24"/>
          <w:lang w:val="en-ZW" w:eastAsia="en-ZW"/>
        </w:rPr>
        <w:t>We have been</w:t>
      </w:r>
      <w:r w:rsidR="00897C78">
        <w:rPr>
          <w:rFonts w:ascii="Century Gothic" w:eastAsia="Times New Roman" w:hAnsi="Century Gothic" w:cs="Times New Roman"/>
          <w:i/>
          <w:iCs/>
          <w:color w:val="000000"/>
          <w:sz w:val="24"/>
          <w:szCs w:val="24"/>
          <w:lang w:val="en-ZW" w:eastAsia="en-ZW"/>
        </w:rPr>
        <w:t xml:space="preserve"> assessing and </w:t>
      </w:r>
      <w:r w:rsidR="00426F56">
        <w:rPr>
          <w:rFonts w:ascii="Century Gothic" w:eastAsia="Times New Roman" w:hAnsi="Century Gothic" w:cs="Times New Roman"/>
          <w:i/>
          <w:iCs/>
          <w:color w:val="000000"/>
          <w:sz w:val="24"/>
          <w:szCs w:val="24"/>
          <w:lang w:val="en-ZW" w:eastAsia="en-ZW"/>
        </w:rPr>
        <w:t xml:space="preserve">tracking profitability of </w:t>
      </w:r>
      <w:r>
        <w:rPr>
          <w:rFonts w:ascii="Century Gothic" w:eastAsia="Times New Roman" w:hAnsi="Century Gothic" w:cs="Times New Roman"/>
          <w:i/>
          <w:iCs/>
          <w:color w:val="000000"/>
          <w:sz w:val="24"/>
          <w:szCs w:val="24"/>
          <w:lang w:val="en-ZW" w:eastAsia="en-ZW"/>
        </w:rPr>
        <w:t xml:space="preserve">administrators and the </w:t>
      </w:r>
      <w:r w:rsidR="00C42211">
        <w:rPr>
          <w:rFonts w:ascii="Century Gothic" w:eastAsia="Times New Roman" w:hAnsi="Century Gothic" w:cs="Times New Roman"/>
          <w:i/>
          <w:iCs/>
          <w:color w:val="000000"/>
          <w:sz w:val="24"/>
          <w:szCs w:val="24"/>
          <w:lang w:val="en-ZW" w:eastAsia="en-ZW"/>
        </w:rPr>
        <w:t>default reason for loss making</w:t>
      </w:r>
      <w:r w:rsidR="00426F56">
        <w:rPr>
          <w:rFonts w:ascii="Century Gothic" w:eastAsia="Times New Roman" w:hAnsi="Century Gothic" w:cs="Times New Roman"/>
          <w:i/>
          <w:iCs/>
          <w:color w:val="000000"/>
          <w:sz w:val="24"/>
          <w:szCs w:val="24"/>
          <w:lang w:val="en-ZW" w:eastAsia="en-ZW"/>
        </w:rPr>
        <w:t xml:space="preserve"> being cited through </w:t>
      </w:r>
      <w:r w:rsidR="0027260B">
        <w:rPr>
          <w:rFonts w:ascii="Century Gothic" w:eastAsia="Times New Roman" w:hAnsi="Century Gothic" w:cs="Times New Roman"/>
          <w:i/>
          <w:iCs/>
          <w:color w:val="000000"/>
          <w:sz w:val="24"/>
          <w:szCs w:val="24"/>
          <w:lang w:val="en-ZW" w:eastAsia="en-ZW"/>
        </w:rPr>
        <w:t xml:space="preserve">ZAPF meetings with the Commission has been </w:t>
      </w:r>
      <w:r w:rsidR="00C42211">
        <w:rPr>
          <w:rFonts w:ascii="Century Gothic" w:eastAsia="Times New Roman" w:hAnsi="Century Gothic" w:cs="Times New Roman"/>
          <w:i/>
          <w:iCs/>
          <w:color w:val="000000"/>
          <w:sz w:val="24"/>
          <w:szCs w:val="24"/>
          <w:lang w:val="en-ZW" w:eastAsia="en-ZW"/>
        </w:rPr>
        <w:t>the Expense Framework</w:t>
      </w:r>
      <w:r w:rsidR="00AB3B0F">
        <w:rPr>
          <w:rFonts w:ascii="Century Gothic" w:eastAsia="Times New Roman" w:hAnsi="Century Gothic" w:cs="Times New Roman"/>
          <w:i/>
          <w:iCs/>
          <w:color w:val="000000"/>
          <w:sz w:val="24"/>
          <w:szCs w:val="24"/>
          <w:lang w:val="en-ZW" w:eastAsia="en-ZW"/>
        </w:rPr>
        <w:t xml:space="preserve"> which capped the administration fees.</w:t>
      </w:r>
    </w:p>
    <w:p w14:paraId="15DED349" w14:textId="77777777" w:rsidR="00AB3B0F" w:rsidRDefault="00AB3B0F" w:rsidP="00580584">
      <w:pPr>
        <w:spacing w:after="0" w:line="240" w:lineRule="auto"/>
        <w:jc w:val="both"/>
        <w:textAlignment w:val="baseline"/>
        <w:rPr>
          <w:rFonts w:ascii="Century Gothic" w:eastAsia="Times New Roman" w:hAnsi="Century Gothic" w:cs="Times New Roman"/>
          <w:i/>
          <w:iCs/>
          <w:color w:val="000000"/>
          <w:sz w:val="24"/>
          <w:szCs w:val="24"/>
          <w:lang w:val="en-ZW" w:eastAsia="en-ZW"/>
        </w:rPr>
      </w:pPr>
    </w:p>
    <w:p w14:paraId="5ACB2B49" w14:textId="4C104C76" w:rsidR="00AB3B0F" w:rsidRDefault="0027260B" w:rsidP="004C1277">
      <w:pPr>
        <w:spacing w:after="0" w:line="360" w:lineRule="auto"/>
        <w:jc w:val="both"/>
        <w:textAlignment w:val="baseline"/>
        <w:rPr>
          <w:rFonts w:ascii="Century Gothic" w:eastAsia="Times New Roman" w:hAnsi="Century Gothic" w:cs="Times New Roman"/>
          <w:i/>
          <w:iCs/>
          <w:color w:val="000000"/>
          <w:sz w:val="24"/>
          <w:szCs w:val="24"/>
          <w:lang w:val="en-ZW" w:eastAsia="en-ZW"/>
        </w:rPr>
      </w:pPr>
      <w:r>
        <w:rPr>
          <w:rFonts w:ascii="Century Gothic" w:eastAsia="Times New Roman" w:hAnsi="Century Gothic" w:cs="Times New Roman"/>
          <w:i/>
          <w:iCs/>
          <w:color w:val="000000"/>
          <w:sz w:val="24"/>
          <w:szCs w:val="24"/>
          <w:lang w:val="en-ZW" w:eastAsia="en-ZW"/>
        </w:rPr>
        <w:t xml:space="preserve">However, a closer look at </w:t>
      </w:r>
      <w:r w:rsidR="00AB3B0F">
        <w:rPr>
          <w:rFonts w:ascii="Century Gothic" w:eastAsia="Times New Roman" w:hAnsi="Century Gothic" w:cs="Times New Roman"/>
          <w:i/>
          <w:iCs/>
          <w:color w:val="000000"/>
          <w:sz w:val="24"/>
          <w:szCs w:val="24"/>
          <w:lang w:val="en-ZW" w:eastAsia="en-ZW"/>
        </w:rPr>
        <w:t xml:space="preserve">the expense drivers indicates the following as major expense </w:t>
      </w:r>
      <w:proofErr w:type="gramStart"/>
      <w:r w:rsidR="00AB3B0F">
        <w:rPr>
          <w:rFonts w:ascii="Century Gothic" w:eastAsia="Times New Roman" w:hAnsi="Century Gothic" w:cs="Times New Roman"/>
          <w:i/>
          <w:iCs/>
          <w:color w:val="000000"/>
          <w:sz w:val="24"/>
          <w:szCs w:val="24"/>
          <w:lang w:val="en-ZW" w:eastAsia="en-ZW"/>
        </w:rPr>
        <w:t>drivers:-</w:t>
      </w:r>
      <w:proofErr w:type="gramEnd"/>
    </w:p>
    <w:p w14:paraId="2D1660E5" w14:textId="0B4E85C0" w:rsidR="00AB3B0F" w:rsidRDefault="008B1D63" w:rsidP="008B1D63">
      <w:pPr>
        <w:pStyle w:val="ListParagraph"/>
        <w:numPr>
          <w:ilvl w:val="0"/>
          <w:numId w:val="19"/>
        </w:numPr>
        <w:spacing w:after="0" w:line="360" w:lineRule="auto"/>
        <w:jc w:val="both"/>
        <w:textAlignment w:val="baseline"/>
        <w:rPr>
          <w:rFonts w:ascii="Century Gothic" w:eastAsia="Times New Roman" w:hAnsi="Century Gothic" w:cs="Times New Roman"/>
          <w:i/>
          <w:iCs/>
          <w:color w:val="000000"/>
          <w:sz w:val="24"/>
          <w:szCs w:val="24"/>
          <w:lang w:val="en-ZW" w:eastAsia="en-ZW"/>
        </w:rPr>
      </w:pPr>
      <w:r>
        <w:rPr>
          <w:rFonts w:ascii="Century Gothic" w:eastAsia="Times New Roman" w:hAnsi="Century Gothic" w:cs="Times New Roman"/>
          <w:i/>
          <w:iCs/>
          <w:color w:val="000000"/>
          <w:sz w:val="24"/>
          <w:szCs w:val="24"/>
          <w:lang w:val="en-ZW" w:eastAsia="en-ZW"/>
        </w:rPr>
        <w:t xml:space="preserve">Salaries </w:t>
      </w:r>
      <w:r w:rsidR="006D5C42">
        <w:rPr>
          <w:rFonts w:ascii="Century Gothic" w:eastAsia="Times New Roman" w:hAnsi="Century Gothic" w:cs="Times New Roman"/>
          <w:i/>
          <w:iCs/>
          <w:color w:val="000000"/>
          <w:sz w:val="24"/>
          <w:szCs w:val="24"/>
          <w:lang w:val="en-ZW" w:eastAsia="en-ZW"/>
        </w:rPr>
        <w:t>–</w:t>
      </w:r>
      <w:r>
        <w:rPr>
          <w:rFonts w:ascii="Century Gothic" w:eastAsia="Times New Roman" w:hAnsi="Century Gothic" w:cs="Times New Roman"/>
          <w:i/>
          <w:iCs/>
          <w:color w:val="000000"/>
          <w:sz w:val="24"/>
          <w:szCs w:val="24"/>
          <w:lang w:val="en-ZW" w:eastAsia="en-ZW"/>
        </w:rPr>
        <w:t xml:space="preserve"> </w:t>
      </w:r>
      <w:r w:rsidR="006D5C42">
        <w:rPr>
          <w:rFonts w:ascii="Century Gothic" w:eastAsia="Times New Roman" w:hAnsi="Century Gothic" w:cs="Times New Roman"/>
          <w:i/>
          <w:iCs/>
          <w:color w:val="000000"/>
          <w:sz w:val="24"/>
          <w:szCs w:val="24"/>
          <w:lang w:val="en-ZW" w:eastAsia="en-ZW"/>
        </w:rPr>
        <w:t>35%</w:t>
      </w:r>
    </w:p>
    <w:p w14:paraId="32D77D0E" w14:textId="26E06AB4" w:rsidR="006D5C42" w:rsidRDefault="006D5C42" w:rsidP="008B1D63">
      <w:pPr>
        <w:pStyle w:val="ListParagraph"/>
        <w:numPr>
          <w:ilvl w:val="0"/>
          <w:numId w:val="19"/>
        </w:numPr>
        <w:spacing w:after="0" w:line="360" w:lineRule="auto"/>
        <w:jc w:val="both"/>
        <w:textAlignment w:val="baseline"/>
        <w:rPr>
          <w:rFonts w:ascii="Century Gothic" w:eastAsia="Times New Roman" w:hAnsi="Century Gothic" w:cs="Times New Roman"/>
          <w:i/>
          <w:iCs/>
          <w:color w:val="000000"/>
          <w:sz w:val="24"/>
          <w:szCs w:val="24"/>
          <w:lang w:val="en-ZW" w:eastAsia="en-ZW"/>
        </w:rPr>
      </w:pPr>
      <w:r>
        <w:rPr>
          <w:rFonts w:ascii="Century Gothic" w:eastAsia="Times New Roman" w:hAnsi="Century Gothic" w:cs="Times New Roman"/>
          <w:i/>
          <w:iCs/>
          <w:color w:val="000000"/>
          <w:sz w:val="24"/>
          <w:szCs w:val="24"/>
          <w:lang w:val="en-ZW" w:eastAsia="en-ZW"/>
        </w:rPr>
        <w:t xml:space="preserve">Other staff costs – 12%, resulting in employment costs of </w:t>
      </w:r>
      <w:r w:rsidR="009C3BAA">
        <w:rPr>
          <w:rFonts w:ascii="Century Gothic" w:eastAsia="Times New Roman" w:hAnsi="Century Gothic" w:cs="Times New Roman"/>
          <w:i/>
          <w:iCs/>
          <w:color w:val="000000"/>
          <w:sz w:val="24"/>
          <w:szCs w:val="24"/>
          <w:lang w:val="en-ZW" w:eastAsia="en-ZW"/>
        </w:rPr>
        <w:t>47%.</w:t>
      </w:r>
    </w:p>
    <w:p w14:paraId="23D831BA" w14:textId="78E03D58" w:rsidR="009C2A8F" w:rsidRDefault="004E0714" w:rsidP="00827BB2">
      <w:pPr>
        <w:pStyle w:val="ListParagraph"/>
        <w:numPr>
          <w:ilvl w:val="0"/>
          <w:numId w:val="19"/>
        </w:numPr>
        <w:spacing w:after="0" w:line="360" w:lineRule="auto"/>
        <w:jc w:val="both"/>
        <w:textAlignment w:val="baseline"/>
        <w:rPr>
          <w:rFonts w:ascii="Century Gothic" w:eastAsia="Times New Roman" w:hAnsi="Century Gothic" w:cs="Times New Roman"/>
          <w:i/>
          <w:iCs/>
          <w:color w:val="000000"/>
          <w:sz w:val="24"/>
          <w:szCs w:val="24"/>
          <w:lang w:val="en-ZW" w:eastAsia="en-ZW"/>
        </w:rPr>
      </w:pPr>
      <w:r>
        <w:rPr>
          <w:rFonts w:ascii="Century Gothic" w:eastAsia="Times New Roman" w:hAnsi="Century Gothic" w:cs="Times New Roman"/>
          <w:i/>
          <w:iCs/>
          <w:color w:val="000000"/>
          <w:sz w:val="24"/>
          <w:szCs w:val="24"/>
          <w:lang w:val="en-ZW" w:eastAsia="en-ZW"/>
        </w:rPr>
        <w:t>Computer hardware – 8%</w:t>
      </w:r>
    </w:p>
    <w:p w14:paraId="2E34DC9C" w14:textId="323AAE38" w:rsidR="00A46AAB" w:rsidRDefault="00A46AAB" w:rsidP="00827BB2">
      <w:pPr>
        <w:pStyle w:val="ListParagraph"/>
        <w:numPr>
          <w:ilvl w:val="0"/>
          <w:numId w:val="19"/>
        </w:numPr>
        <w:spacing w:after="0" w:line="360" w:lineRule="auto"/>
        <w:jc w:val="both"/>
        <w:textAlignment w:val="baseline"/>
        <w:rPr>
          <w:rFonts w:ascii="Century Gothic" w:eastAsia="Times New Roman" w:hAnsi="Century Gothic" w:cs="Times New Roman"/>
          <w:i/>
          <w:iCs/>
          <w:color w:val="000000"/>
          <w:sz w:val="24"/>
          <w:szCs w:val="24"/>
          <w:lang w:val="en-ZW" w:eastAsia="en-ZW"/>
        </w:rPr>
      </w:pPr>
      <w:r w:rsidRPr="00A46AAB">
        <w:rPr>
          <w:rFonts w:ascii="Century Gothic" w:eastAsia="Times New Roman" w:hAnsi="Century Gothic" w:cs="Times New Roman"/>
          <w:i/>
          <w:iCs/>
          <w:color w:val="000000"/>
          <w:sz w:val="24"/>
          <w:szCs w:val="24"/>
          <w:lang w:val="en-ZW" w:eastAsia="en-ZW"/>
        </w:rPr>
        <w:t>Contribution Arrears: An administrator’s fee is calculated on contributions received, so arrears directly depress fee income.</w:t>
      </w:r>
    </w:p>
    <w:p w14:paraId="00C7F8E2" w14:textId="77777777" w:rsidR="00A85062" w:rsidRDefault="00A85062" w:rsidP="003D143D">
      <w:pPr>
        <w:spacing w:after="0" w:line="240" w:lineRule="auto"/>
        <w:jc w:val="both"/>
        <w:textAlignment w:val="baseline"/>
        <w:rPr>
          <w:rFonts w:ascii="Century Gothic" w:eastAsia="Times New Roman" w:hAnsi="Century Gothic" w:cs="Times New Roman"/>
          <w:i/>
          <w:iCs/>
          <w:color w:val="000000"/>
          <w:sz w:val="24"/>
          <w:szCs w:val="24"/>
          <w:lang w:val="en-ZW" w:eastAsia="en-ZW"/>
        </w:rPr>
      </w:pPr>
    </w:p>
    <w:p w14:paraId="3B7F1269" w14:textId="07AFDD43" w:rsidR="00827BB2" w:rsidRDefault="00827BB2" w:rsidP="00827BB2">
      <w:pPr>
        <w:spacing w:after="0" w:line="360" w:lineRule="auto"/>
        <w:jc w:val="both"/>
        <w:textAlignment w:val="baseline"/>
        <w:rPr>
          <w:rFonts w:ascii="Century Gothic" w:eastAsia="Times New Roman" w:hAnsi="Century Gothic" w:cs="Times New Roman"/>
          <w:i/>
          <w:iCs/>
          <w:color w:val="000000"/>
          <w:sz w:val="24"/>
          <w:szCs w:val="24"/>
          <w:lang w:val="en-ZW" w:eastAsia="en-ZW"/>
        </w:rPr>
      </w:pPr>
      <w:r>
        <w:rPr>
          <w:rFonts w:ascii="Century Gothic" w:eastAsia="Times New Roman" w:hAnsi="Century Gothic" w:cs="Times New Roman"/>
          <w:i/>
          <w:iCs/>
          <w:color w:val="000000"/>
          <w:sz w:val="24"/>
          <w:szCs w:val="24"/>
          <w:lang w:val="en-ZW" w:eastAsia="en-ZW"/>
        </w:rPr>
        <w:t>It is also important to note that our Q2/2026 report highlights</w:t>
      </w:r>
      <w:r w:rsidR="00EB19EB">
        <w:rPr>
          <w:rFonts w:ascii="Century Gothic" w:eastAsia="Times New Roman" w:hAnsi="Century Gothic" w:cs="Times New Roman"/>
          <w:i/>
          <w:iCs/>
          <w:color w:val="000000"/>
          <w:sz w:val="24"/>
          <w:szCs w:val="24"/>
          <w:lang w:val="en-ZW" w:eastAsia="en-ZW"/>
        </w:rPr>
        <w:t xml:space="preserve"> three (3) life companies having made losses (Zimnat, ZB and </w:t>
      </w:r>
      <w:r w:rsidR="00897C78">
        <w:rPr>
          <w:rFonts w:ascii="Century Gothic" w:eastAsia="Times New Roman" w:hAnsi="Century Gothic" w:cs="Times New Roman"/>
          <w:i/>
          <w:iCs/>
          <w:color w:val="000000"/>
          <w:sz w:val="24"/>
          <w:szCs w:val="24"/>
          <w:lang w:val="en-ZW" w:eastAsia="en-ZW"/>
        </w:rPr>
        <w:t>Old Mutual).</w:t>
      </w:r>
      <w:r w:rsidR="00C71911">
        <w:rPr>
          <w:rFonts w:ascii="Century Gothic" w:eastAsia="Times New Roman" w:hAnsi="Century Gothic" w:cs="Times New Roman"/>
          <w:i/>
          <w:iCs/>
          <w:color w:val="000000"/>
          <w:sz w:val="24"/>
          <w:szCs w:val="24"/>
          <w:lang w:val="en-ZW" w:eastAsia="en-ZW"/>
        </w:rPr>
        <w:t xml:space="preserve"> Our view is that the life companies should align the expense structures to the level of income they are receiving from pension funds</w:t>
      </w:r>
      <w:r w:rsidR="002A6A7D">
        <w:rPr>
          <w:rFonts w:ascii="Century Gothic" w:eastAsia="Times New Roman" w:hAnsi="Century Gothic" w:cs="Times New Roman"/>
          <w:i/>
          <w:iCs/>
          <w:color w:val="000000"/>
          <w:sz w:val="24"/>
          <w:szCs w:val="24"/>
          <w:lang w:val="en-ZW" w:eastAsia="en-ZW"/>
        </w:rPr>
        <w:t>.</w:t>
      </w:r>
    </w:p>
    <w:p w14:paraId="22FDD2D0" w14:textId="60D22668" w:rsidR="002A6A7D" w:rsidRDefault="002A6A7D" w:rsidP="00827BB2">
      <w:pPr>
        <w:spacing w:after="0" w:line="360" w:lineRule="auto"/>
        <w:jc w:val="both"/>
        <w:textAlignment w:val="baseline"/>
        <w:rPr>
          <w:rFonts w:ascii="Century Gothic" w:eastAsia="Times New Roman" w:hAnsi="Century Gothic" w:cs="Times New Roman"/>
          <w:i/>
          <w:iCs/>
          <w:color w:val="000000"/>
          <w:sz w:val="24"/>
          <w:szCs w:val="24"/>
          <w:lang w:val="en-ZW" w:eastAsia="en-ZW"/>
        </w:rPr>
      </w:pPr>
      <w:r>
        <w:rPr>
          <w:rFonts w:ascii="Century Gothic" w:eastAsia="Times New Roman" w:hAnsi="Century Gothic" w:cs="Times New Roman"/>
          <w:i/>
          <w:iCs/>
          <w:color w:val="000000"/>
          <w:sz w:val="24"/>
          <w:szCs w:val="24"/>
          <w:lang w:val="en-ZW" w:eastAsia="en-ZW"/>
        </w:rPr>
        <w:t xml:space="preserve">There is also need to relook at shared services </w:t>
      </w:r>
      <w:r w:rsidR="008A1B65">
        <w:rPr>
          <w:rFonts w:ascii="Century Gothic" w:eastAsia="Times New Roman" w:hAnsi="Century Gothic" w:cs="Times New Roman"/>
          <w:i/>
          <w:iCs/>
          <w:color w:val="000000"/>
          <w:sz w:val="24"/>
          <w:szCs w:val="24"/>
          <w:lang w:val="en-ZW" w:eastAsia="en-ZW"/>
        </w:rPr>
        <w:t>of the EB business with other SBUs of the administrator as well as entities in the group</w:t>
      </w:r>
      <w:r w:rsidR="0089261C">
        <w:rPr>
          <w:rFonts w:ascii="Century Gothic" w:eastAsia="Times New Roman" w:hAnsi="Century Gothic" w:cs="Times New Roman"/>
          <w:i/>
          <w:iCs/>
          <w:color w:val="000000"/>
          <w:sz w:val="24"/>
          <w:szCs w:val="24"/>
          <w:lang w:val="en-ZW" w:eastAsia="en-ZW"/>
        </w:rPr>
        <w:t xml:space="preserve"> </w:t>
      </w:r>
      <w:r w:rsidR="0089261C" w:rsidRPr="0089261C">
        <w:rPr>
          <w:rFonts w:ascii="Century Gothic" w:eastAsia="Times New Roman" w:hAnsi="Century Gothic" w:cs="Times New Roman"/>
          <w:i/>
          <w:iCs/>
          <w:color w:val="000000"/>
          <w:sz w:val="24"/>
          <w:szCs w:val="24"/>
          <w:lang w:val="en-ZW" w:eastAsia="en-ZW"/>
        </w:rPr>
        <w:t>i.e., HR, IT, finance, administration — are apportioned to the employee-benefits business.</w:t>
      </w:r>
    </w:p>
    <w:p w14:paraId="5243CE75" w14:textId="77777777" w:rsidR="008A1B65" w:rsidRDefault="008A1B65" w:rsidP="003D143D">
      <w:pPr>
        <w:spacing w:after="0" w:line="240" w:lineRule="auto"/>
        <w:jc w:val="both"/>
        <w:textAlignment w:val="baseline"/>
        <w:rPr>
          <w:rFonts w:ascii="Century Gothic" w:eastAsia="Times New Roman" w:hAnsi="Century Gothic" w:cs="Times New Roman"/>
          <w:i/>
          <w:iCs/>
          <w:color w:val="000000"/>
          <w:sz w:val="24"/>
          <w:szCs w:val="24"/>
          <w:lang w:val="en-ZW" w:eastAsia="en-ZW"/>
        </w:rPr>
      </w:pPr>
    </w:p>
    <w:p w14:paraId="15936986" w14:textId="42FDB5D7" w:rsidR="00790B35" w:rsidRDefault="00790B35" w:rsidP="00827BB2">
      <w:pPr>
        <w:spacing w:after="0" w:line="360" w:lineRule="auto"/>
        <w:jc w:val="both"/>
        <w:textAlignment w:val="baseline"/>
        <w:rPr>
          <w:rFonts w:ascii="Century Gothic" w:eastAsia="Times New Roman" w:hAnsi="Century Gothic" w:cs="Times New Roman"/>
          <w:i/>
          <w:iCs/>
          <w:color w:val="000000"/>
          <w:sz w:val="24"/>
          <w:szCs w:val="24"/>
          <w:lang w:val="en-ZW" w:eastAsia="en-ZW"/>
        </w:rPr>
      </w:pPr>
      <w:r>
        <w:rPr>
          <w:rFonts w:ascii="Century Gothic" w:eastAsia="Times New Roman" w:hAnsi="Century Gothic" w:cs="Times New Roman"/>
          <w:i/>
          <w:iCs/>
          <w:color w:val="000000"/>
          <w:sz w:val="24"/>
          <w:szCs w:val="24"/>
          <w:lang w:val="en-ZW" w:eastAsia="en-ZW"/>
        </w:rPr>
        <w:t>The Commission has also observed that whilst the admin business may be making losses on the face of it, the groups are generating business through other entities in the group e.g, asset management, custodianship</w:t>
      </w:r>
      <w:r w:rsidR="00EA2DD3">
        <w:rPr>
          <w:rFonts w:ascii="Century Gothic" w:eastAsia="Times New Roman" w:hAnsi="Century Gothic" w:cs="Times New Roman"/>
          <w:i/>
          <w:iCs/>
          <w:color w:val="000000"/>
          <w:sz w:val="24"/>
          <w:szCs w:val="24"/>
          <w:lang w:val="en-ZW" w:eastAsia="en-ZW"/>
        </w:rPr>
        <w:t xml:space="preserve">, </w:t>
      </w:r>
      <w:r w:rsidR="009C3BAA">
        <w:rPr>
          <w:rFonts w:ascii="Century Gothic" w:eastAsia="Times New Roman" w:hAnsi="Century Gothic" w:cs="Times New Roman"/>
          <w:i/>
          <w:iCs/>
          <w:color w:val="000000"/>
          <w:sz w:val="24"/>
          <w:szCs w:val="24"/>
          <w:lang w:val="en-ZW" w:eastAsia="en-ZW"/>
        </w:rPr>
        <w:t>etc.</w:t>
      </w:r>
    </w:p>
    <w:p w14:paraId="3A7778CD" w14:textId="77777777" w:rsidR="00C71911" w:rsidRPr="00827BB2" w:rsidRDefault="00C71911" w:rsidP="003D143D">
      <w:pPr>
        <w:spacing w:after="0" w:line="240" w:lineRule="auto"/>
        <w:jc w:val="both"/>
        <w:textAlignment w:val="baseline"/>
        <w:rPr>
          <w:rFonts w:ascii="Century Gothic" w:eastAsia="Times New Roman" w:hAnsi="Century Gothic" w:cs="Times New Roman"/>
          <w:i/>
          <w:iCs/>
          <w:color w:val="000000"/>
          <w:sz w:val="24"/>
          <w:szCs w:val="24"/>
          <w:lang w:val="en-ZW" w:eastAsia="en-ZW"/>
        </w:rPr>
      </w:pPr>
    </w:p>
    <w:p w14:paraId="4338868B" w14:textId="35B4431D" w:rsidR="004C1277" w:rsidRDefault="00EA2DD3" w:rsidP="004C1277">
      <w:pPr>
        <w:spacing w:after="0" w:line="360" w:lineRule="auto"/>
        <w:jc w:val="both"/>
        <w:textAlignment w:val="baseline"/>
        <w:rPr>
          <w:rFonts w:ascii="Century Gothic" w:eastAsia="Times New Roman" w:hAnsi="Century Gothic" w:cs="Times New Roman"/>
          <w:i/>
          <w:iCs/>
          <w:color w:val="000000"/>
          <w:sz w:val="24"/>
          <w:szCs w:val="24"/>
          <w:lang w:val="en-ZW" w:eastAsia="en-ZW"/>
        </w:rPr>
      </w:pPr>
      <w:r>
        <w:rPr>
          <w:rFonts w:ascii="Century Gothic" w:eastAsia="Times New Roman" w:hAnsi="Century Gothic" w:cs="Times New Roman"/>
          <w:i/>
          <w:iCs/>
          <w:color w:val="000000"/>
          <w:sz w:val="24"/>
          <w:szCs w:val="24"/>
          <w:lang w:val="en-ZW" w:eastAsia="en-ZW"/>
        </w:rPr>
        <w:t xml:space="preserve">Continued </w:t>
      </w:r>
      <w:proofErr w:type="gramStart"/>
      <w:r>
        <w:rPr>
          <w:rFonts w:ascii="Century Gothic" w:eastAsia="Times New Roman" w:hAnsi="Century Gothic" w:cs="Times New Roman"/>
          <w:i/>
          <w:iCs/>
          <w:color w:val="000000"/>
          <w:sz w:val="24"/>
          <w:szCs w:val="24"/>
          <w:lang w:val="en-ZW" w:eastAsia="en-ZW"/>
        </w:rPr>
        <w:t xml:space="preserve">losses </w:t>
      </w:r>
      <w:r w:rsidR="004C1277" w:rsidRPr="004C1277">
        <w:rPr>
          <w:rFonts w:ascii="Century Gothic" w:eastAsia="Times New Roman" w:hAnsi="Century Gothic" w:cs="Times New Roman"/>
          <w:i/>
          <w:iCs/>
          <w:color w:val="000000"/>
          <w:sz w:val="24"/>
          <w:szCs w:val="24"/>
          <w:lang w:val="en-ZW" w:eastAsia="en-ZW"/>
        </w:rPr>
        <w:t xml:space="preserve"> could</w:t>
      </w:r>
      <w:proofErr w:type="gramEnd"/>
      <w:r w:rsidR="004C1277" w:rsidRPr="004C1277">
        <w:rPr>
          <w:rFonts w:ascii="Century Gothic" w:eastAsia="Times New Roman" w:hAnsi="Century Gothic" w:cs="Times New Roman"/>
          <w:i/>
          <w:iCs/>
          <w:color w:val="000000"/>
          <w:sz w:val="24"/>
          <w:szCs w:val="24"/>
          <w:lang w:val="en-ZW" w:eastAsia="en-ZW"/>
        </w:rPr>
        <w:t xml:space="preserve"> be an issue of having too many administrators for a small market, hence consolidation could be an </w:t>
      </w:r>
      <w:r w:rsidR="009C3BAA" w:rsidRPr="004C1277">
        <w:rPr>
          <w:rFonts w:ascii="Century Gothic" w:eastAsia="Times New Roman" w:hAnsi="Century Gothic" w:cs="Times New Roman"/>
          <w:i/>
          <w:iCs/>
          <w:color w:val="000000"/>
          <w:sz w:val="24"/>
          <w:szCs w:val="24"/>
          <w:lang w:val="en-ZW" w:eastAsia="en-ZW"/>
        </w:rPr>
        <w:t>option.</w:t>
      </w:r>
    </w:p>
    <w:p w14:paraId="58214D40" w14:textId="77777777" w:rsidR="00B022CF" w:rsidRDefault="00B022CF" w:rsidP="004C1277">
      <w:pPr>
        <w:spacing w:after="0" w:line="360" w:lineRule="auto"/>
        <w:jc w:val="both"/>
        <w:textAlignment w:val="baseline"/>
        <w:rPr>
          <w:rFonts w:ascii="Century Gothic" w:eastAsia="Times New Roman" w:hAnsi="Century Gothic" w:cs="Times New Roman"/>
          <w:i/>
          <w:iCs/>
          <w:color w:val="000000"/>
          <w:sz w:val="24"/>
          <w:szCs w:val="24"/>
          <w:lang w:val="en-ZW" w:eastAsia="en-ZW"/>
        </w:rPr>
      </w:pPr>
    </w:p>
    <w:p w14:paraId="3652ECBF" w14:textId="77777777" w:rsidR="00580584" w:rsidRPr="004C1277" w:rsidRDefault="00580584" w:rsidP="004C1277">
      <w:pPr>
        <w:spacing w:after="0" w:line="360" w:lineRule="auto"/>
        <w:jc w:val="both"/>
        <w:textAlignment w:val="baseline"/>
        <w:rPr>
          <w:rFonts w:ascii="Century Gothic" w:eastAsia="Times New Roman" w:hAnsi="Century Gothic" w:cs="Times New Roman"/>
          <w:i/>
          <w:iCs/>
          <w:color w:val="000000"/>
          <w:sz w:val="24"/>
          <w:szCs w:val="24"/>
          <w:lang w:val="en-ZW" w:eastAsia="en-ZW"/>
        </w:rPr>
      </w:pPr>
    </w:p>
    <w:p w14:paraId="55EEFC27" w14:textId="77777777" w:rsidR="00481696" w:rsidRDefault="00481696" w:rsidP="004C1277">
      <w:pPr>
        <w:pStyle w:val="ListParagraph"/>
        <w:spacing w:after="140" w:line="360" w:lineRule="auto"/>
        <w:ind w:left="360"/>
        <w:jc w:val="both"/>
        <w:rPr>
          <w:rFonts w:ascii="Century Gothic" w:hAnsi="Century Gothic"/>
          <w:vanish/>
          <w:sz w:val="24"/>
          <w:szCs w:val="24"/>
        </w:rPr>
      </w:pPr>
    </w:p>
    <w:p w14:paraId="71AF73BB" w14:textId="3B92A320" w:rsidR="00222B4E" w:rsidRPr="00311941" w:rsidRDefault="003652DE" w:rsidP="009A612C">
      <w:pPr>
        <w:pStyle w:val="ListParagraph"/>
        <w:numPr>
          <w:ilvl w:val="0"/>
          <w:numId w:val="10"/>
        </w:numPr>
        <w:shd w:val="clear" w:color="auto" w:fill="1B2A6B"/>
        <w:spacing w:before="260" w:after="80" w:line="360" w:lineRule="auto"/>
        <w:rPr>
          <w:rFonts w:ascii="Century Gothic" w:hAnsi="Century Gothic"/>
          <w:b/>
          <w:sz w:val="28"/>
          <w:szCs w:val="28"/>
        </w:rPr>
      </w:pPr>
      <w:r w:rsidRPr="00311941">
        <w:rPr>
          <w:rFonts w:ascii="Century Gothic" w:hAnsi="Century Gothic"/>
          <w:b/>
          <w:sz w:val="28"/>
          <w:szCs w:val="28"/>
        </w:rPr>
        <w:t xml:space="preserve">  Concluding Remarks</w:t>
      </w:r>
    </w:p>
    <w:p w14:paraId="39C5A1EB" w14:textId="77777777" w:rsidR="003D143D" w:rsidRDefault="003D143D" w:rsidP="003C16FE">
      <w:pPr>
        <w:spacing w:after="140" w:line="360" w:lineRule="auto"/>
        <w:jc w:val="both"/>
        <w:rPr>
          <w:rFonts w:ascii="Century Gothic" w:hAnsi="Century Gothic"/>
          <w:sz w:val="24"/>
          <w:szCs w:val="24"/>
        </w:rPr>
      </w:pPr>
    </w:p>
    <w:p w14:paraId="3DC973DD" w14:textId="2EE246DF" w:rsidR="003C16FE" w:rsidRDefault="003C16FE" w:rsidP="003C16FE">
      <w:pPr>
        <w:spacing w:after="140" w:line="360" w:lineRule="auto"/>
        <w:jc w:val="both"/>
        <w:rPr>
          <w:rFonts w:ascii="Century Gothic" w:hAnsi="Century Gothic"/>
          <w:sz w:val="24"/>
          <w:szCs w:val="24"/>
        </w:rPr>
      </w:pPr>
      <w:r>
        <w:rPr>
          <w:rFonts w:ascii="Century Gothic" w:hAnsi="Century Gothic"/>
          <w:sz w:val="24"/>
          <w:szCs w:val="24"/>
        </w:rPr>
        <w:t xml:space="preserve">Call for all Chairpersons to track compliance with the provisions of the IPEC Amendment Act, particularly the </w:t>
      </w:r>
      <w:proofErr w:type="gramStart"/>
      <w:r>
        <w:rPr>
          <w:rFonts w:ascii="Century Gothic" w:hAnsi="Century Gothic"/>
          <w:sz w:val="24"/>
          <w:szCs w:val="24"/>
        </w:rPr>
        <w:t>following:-</w:t>
      </w:r>
      <w:proofErr w:type="gramEnd"/>
    </w:p>
    <w:p w14:paraId="04901423" w14:textId="77777777" w:rsidR="006F0E67" w:rsidRDefault="006F0E67" w:rsidP="003C16FE">
      <w:pPr>
        <w:pStyle w:val="ListParagraph"/>
        <w:numPr>
          <w:ilvl w:val="0"/>
          <w:numId w:val="20"/>
        </w:numPr>
        <w:spacing w:after="140" w:line="360" w:lineRule="auto"/>
        <w:jc w:val="both"/>
        <w:rPr>
          <w:rFonts w:ascii="Century Gothic" w:hAnsi="Century Gothic"/>
          <w:sz w:val="24"/>
          <w:szCs w:val="24"/>
        </w:rPr>
      </w:pPr>
      <w:r>
        <w:rPr>
          <w:rFonts w:ascii="Century Gothic" w:hAnsi="Century Gothic"/>
          <w:sz w:val="24"/>
          <w:szCs w:val="24"/>
        </w:rPr>
        <w:t>Establishment and remittance to the Policyholder and Pension Scheme Member Protection Fund</w:t>
      </w:r>
    </w:p>
    <w:p w14:paraId="2CED8528" w14:textId="1AB53FBA" w:rsidR="006F0E67" w:rsidRDefault="006F0E67" w:rsidP="003C16FE">
      <w:pPr>
        <w:pStyle w:val="ListParagraph"/>
        <w:numPr>
          <w:ilvl w:val="0"/>
          <w:numId w:val="20"/>
        </w:numPr>
        <w:spacing w:after="140" w:line="360" w:lineRule="auto"/>
        <w:jc w:val="both"/>
        <w:rPr>
          <w:rFonts w:ascii="Century Gothic" w:hAnsi="Century Gothic"/>
          <w:sz w:val="24"/>
          <w:szCs w:val="24"/>
        </w:rPr>
      </w:pPr>
      <w:r>
        <w:rPr>
          <w:rFonts w:ascii="Century Gothic" w:hAnsi="Century Gothic"/>
          <w:sz w:val="24"/>
          <w:szCs w:val="24"/>
        </w:rPr>
        <w:t>Maintenance and tracking of asset register at institutional level in view of the establishment of an Asset Register at IPEC, which will be updated through industry returns and disposal notifications</w:t>
      </w:r>
    </w:p>
    <w:p w14:paraId="55373C5C" w14:textId="5B42A0D8" w:rsidR="003C16FE" w:rsidRDefault="006F0E67" w:rsidP="003C16FE">
      <w:pPr>
        <w:pStyle w:val="ListParagraph"/>
        <w:numPr>
          <w:ilvl w:val="0"/>
          <w:numId w:val="20"/>
        </w:numPr>
        <w:spacing w:after="140" w:line="360" w:lineRule="auto"/>
        <w:jc w:val="both"/>
        <w:rPr>
          <w:rFonts w:ascii="Century Gothic" w:hAnsi="Century Gothic"/>
          <w:sz w:val="24"/>
          <w:szCs w:val="24"/>
        </w:rPr>
      </w:pPr>
      <w:r>
        <w:rPr>
          <w:rFonts w:ascii="Century Gothic" w:hAnsi="Century Gothic"/>
          <w:sz w:val="24"/>
          <w:szCs w:val="24"/>
        </w:rPr>
        <w:t>Rotation of Service Providers and Approval by IPEC – a draft Approval Framework has been shared for industry’s comments</w:t>
      </w:r>
    </w:p>
    <w:p w14:paraId="1885BD03" w14:textId="57F6B4D1" w:rsidR="00580584" w:rsidRDefault="00580584" w:rsidP="00580584">
      <w:pPr>
        <w:pStyle w:val="ListParagraph"/>
        <w:numPr>
          <w:ilvl w:val="0"/>
          <w:numId w:val="20"/>
        </w:numPr>
        <w:spacing w:after="140" w:line="360" w:lineRule="auto"/>
        <w:jc w:val="both"/>
        <w:rPr>
          <w:rFonts w:ascii="Century Gothic" w:hAnsi="Century Gothic"/>
          <w:sz w:val="24"/>
          <w:szCs w:val="24"/>
        </w:rPr>
      </w:pPr>
      <w:r>
        <w:rPr>
          <w:rFonts w:ascii="Century Gothic" w:hAnsi="Century Gothic"/>
          <w:sz w:val="24"/>
          <w:szCs w:val="24"/>
        </w:rPr>
        <w:t>There is also need to comply with the S.I. 151 of 2026, recently gazetted.</w:t>
      </w:r>
    </w:p>
    <w:p w14:paraId="094BB713" w14:textId="72ADC155" w:rsidR="00580584" w:rsidRPr="00580584" w:rsidRDefault="00580584" w:rsidP="00580584">
      <w:pPr>
        <w:spacing w:after="140" w:line="360" w:lineRule="auto"/>
        <w:jc w:val="both"/>
        <w:rPr>
          <w:rFonts w:ascii="Century Gothic" w:hAnsi="Century Gothic"/>
          <w:sz w:val="24"/>
          <w:szCs w:val="24"/>
        </w:rPr>
      </w:pPr>
      <w:r>
        <w:rPr>
          <w:rFonts w:ascii="Century Gothic" w:hAnsi="Century Gothic"/>
          <w:sz w:val="24"/>
          <w:szCs w:val="24"/>
        </w:rPr>
        <w:t>Lastly, all Principal Officers and Chairpersons are urged to ensure tracking of benefit payments to pensioners and the values being paid.</w:t>
      </w:r>
    </w:p>
    <w:p w14:paraId="66CC3420" w14:textId="77777777" w:rsidR="0034698D" w:rsidRPr="0034698D" w:rsidRDefault="0034698D" w:rsidP="0034698D">
      <w:pPr>
        <w:spacing w:after="80" w:line="360" w:lineRule="auto"/>
        <w:jc w:val="both"/>
        <w:rPr>
          <w:rFonts w:ascii="Century Gothic" w:hAnsi="Century Gothic"/>
          <w:sz w:val="24"/>
          <w:szCs w:val="24"/>
        </w:rPr>
      </w:pPr>
    </w:p>
    <w:sectPr w:rsidR="0034698D" w:rsidRPr="0034698D" w:rsidSect="0034698D">
      <w:footerReference w:type="default" r:id="rId8"/>
      <w:pgSz w:w="12240" w:h="15840"/>
      <w:pgMar w:top="1224" w:right="900" w:bottom="1152"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6B709D" w14:textId="77777777" w:rsidR="009F0D8D" w:rsidRDefault="009F0D8D" w:rsidP="007E75EB">
      <w:pPr>
        <w:spacing w:after="0" w:line="240" w:lineRule="auto"/>
      </w:pPr>
      <w:r>
        <w:separator/>
      </w:r>
    </w:p>
  </w:endnote>
  <w:endnote w:type="continuationSeparator" w:id="0">
    <w:p w14:paraId="50005868" w14:textId="77777777" w:rsidR="009F0D8D" w:rsidRDefault="009F0D8D" w:rsidP="007E7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0377041"/>
      <w:docPartObj>
        <w:docPartGallery w:val="Page Numbers (Bottom of Page)"/>
        <w:docPartUnique/>
      </w:docPartObj>
    </w:sdtPr>
    <w:sdtEndPr/>
    <w:sdtContent>
      <w:sdt>
        <w:sdtPr>
          <w:id w:val="-1769616900"/>
          <w:docPartObj>
            <w:docPartGallery w:val="Page Numbers (Top of Page)"/>
            <w:docPartUnique/>
          </w:docPartObj>
        </w:sdtPr>
        <w:sdtEndPr/>
        <w:sdtContent>
          <w:p w14:paraId="12C13710" w14:textId="75A9C212" w:rsidR="007E75EB" w:rsidRDefault="007E75E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79965C2" w14:textId="77777777" w:rsidR="007E75EB" w:rsidRDefault="007E75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AC0EA3" w14:textId="77777777" w:rsidR="009F0D8D" w:rsidRDefault="009F0D8D" w:rsidP="007E75EB">
      <w:pPr>
        <w:spacing w:after="0" w:line="240" w:lineRule="auto"/>
      </w:pPr>
      <w:r>
        <w:separator/>
      </w:r>
    </w:p>
  </w:footnote>
  <w:footnote w:type="continuationSeparator" w:id="0">
    <w:p w14:paraId="2D74CE9A" w14:textId="77777777" w:rsidR="009F0D8D" w:rsidRDefault="009F0D8D" w:rsidP="007E75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B0AD44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A75139"/>
    <w:multiLevelType w:val="hybridMultilevel"/>
    <w:tmpl w:val="9B384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3AF4652"/>
    <w:multiLevelType w:val="hybridMultilevel"/>
    <w:tmpl w:val="FCFABF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61774E"/>
    <w:multiLevelType w:val="multilevel"/>
    <w:tmpl w:val="30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CE36C2F"/>
    <w:multiLevelType w:val="multilevel"/>
    <w:tmpl w:val="3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6B4D66"/>
    <w:multiLevelType w:val="hybridMultilevel"/>
    <w:tmpl w:val="0EDEC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E0236C"/>
    <w:multiLevelType w:val="multilevel"/>
    <w:tmpl w:val="3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7887D83"/>
    <w:multiLevelType w:val="multilevel"/>
    <w:tmpl w:val="3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3286A33"/>
    <w:multiLevelType w:val="hybridMultilevel"/>
    <w:tmpl w:val="379A92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8E46733"/>
    <w:multiLevelType w:val="hybridMultilevel"/>
    <w:tmpl w:val="F75C4970"/>
    <w:lvl w:ilvl="0" w:tplc="F48A0D00">
      <w:start w:val="1"/>
      <w:numFmt w:val="decimal"/>
      <w:lvlText w:val="%1."/>
      <w:lvlJc w:val="left"/>
      <w:pPr>
        <w:ind w:left="504" w:hanging="360"/>
      </w:pPr>
      <w:rPr>
        <w:rFonts w:hint="default"/>
        <w:b/>
      </w:rPr>
    </w:lvl>
    <w:lvl w:ilvl="1" w:tplc="30090019">
      <w:start w:val="1"/>
      <w:numFmt w:val="lowerLetter"/>
      <w:lvlText w:val="%2."/>
      <w:lvlJc w:val="left"/>
      <w:pPr>
        <w:ind w:left="1224" w:hanging="360"/>
      </w:pPr>
    </w:lvl>
    <w:lvl w:ilvl="2" w:tplc="3009001B">
      <w:start w:val="1"/>
      <w:numFmt w:val="lowerRoman"/>
      <w:lvlText w:val="%3."/>
      <w:lvlJc w:val="right"/>
      <w:pPr>
        <w:ind w:left="1944" w:hanging="180"/>
      </w:pPr>
    </w:lvl>
    <w:lvl w:ilvl="3" w:tplc="3009000F">
      <w:start w:val="1"/>
      <w:numFmt w:val="decimal"/>
      <w:lvlText w:val="%4."/>
      <w:lvlJc w:val="left"/>
      <w:pPr>
        <w:ind w:left="2664" w:hanging="360"/>
      </w:pPr>
    </w:lvl>
    <w:lvl w:ilvl="4" w:tplc="30090019">
      <w:start w:val="1"/>
      <w:numFmt w:val="lowerLetter"/>
      <w:lvlText w:val="%5."/>
      <w:lvlJc w:val="left"/>
      <w:pPr>
        <w:ind w:left="3384" w:hanging="360"/>
      </w:pPr>
    </w:lvl>
    <w:lvl w:ilvl="5" w:tplc="3009001B" w:tentative="1">
      <w:start w:val="1"/>
      <w:numFmt w:val="lowerRoman"/>
      <w:lvlText w:val="%6."/>
      <w:lvlJc w:val="right"/>
      <w:pPr>
        <w:ind w:left="4104" w:hanging="180"/>
      </w:pPr>
    </w:lvl>
    <w:lvl w:ilvl="6" w:tplc="3009000F" w:tentative="1">
      <w:start w:val="1"/>
      <w:numFmt w:val="decimal"/>
      <w:lvlText w:val="%7."/>
      <w:lvlJc w:val="left"/>
      <w:pPr>
        <w:ind w:left="4824" w:hanging="360"/>
      </w:pPr>
    </w:lvl>
    <w:lvl w:ilvl="7" w:tplc="30090019" w:tentative="1">
      <w:start w:val="1"/>
      <w:numFmt w:val="lowerLetter"/>
      <w:lvlText w:val="%8."/>
      <w:lvlJc w:val="left"/>
      <w:pPr>
        <w:ind w:left="5544" w:hanging="360"/>
      </w:pPr>
    </w:lvl>
    <w:lvl w:ilvl="8" w:tplc="3009001B" w:tentative="1">
      <w:start w:val="1"/>
      <w:numFmt w:val="lowerRoman"/>
      <w:lvlText w:val="%9."/>
      <w:lvlJc w:val="right"/>
      <w:pPr>
        <w:ind w:left="6264" w:hanging="180"/>
      </w:pPr>
    </w:lvl>
  </w:abstractNum>
  <w:abstractNum w:abstractNumId="18" w15:restartNumberingAfterBreak="0">
    <w:nsid w:val="63515FBA"/>
    <w:multiLevelType w:val="hybridMultilevel"/>
    <w:tmpl w:val="45E6F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7"/>
  </w:num>
  <w:num w:numId="11">
    <w:abstractNumId w:val="14"/>
  </w:num>
  <w:num w:numId="12">
    <w:abstractNumId w:val="12"/>
  </w:num>
  <w:num w:numId="13">
    <w:abstractNumId w:val="15"/>
  </w:num>
  <w:num w:numId="14">
    <w:abstractNumId w:val="12"/>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11"/>
  </w:num>
  <w:num w:numId="16">
    <w:abstractNumId w:val="16"/>
  </w:num>
  <w:num w:numId="17">
    <w:abstractNumId w:val="9"/>
  </w:num>
  <w:num w:numId="18">
    <w:abstractNumId w:val="18"/>
  </w:num>
  <w:num w:numId="19">
    <w:abstractNumId w:val="10"/>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859"/>
    <w:rsid w:val="0000791B"/>
    <w:rsid w:val="00034616"/>
    <w:rsid w:val="0006063C"/>
    <w:rsid w:val="000D017C"/>
    <w:rsid w:val="000D7AA3"/>
    <w:rsid w:val="000F40A8"/>
    <w:rsid w:val="0015074B"/>
    <w:rsid w:val="001523EA"/>
    <w:rsid w:val="00157E71"/>
    <w:rsid w:val="0018071E"/>
    <w:rsid w:val="001815A9"/>
    <w:rsid w:val="00196576"/>
    <w:rsid w:val="001A23AE"/>
    <w:rsid w:val="00222B4E"/>
    <w:rsid w:val="0025794B"/>
    <w:rsid w:val="00260A2E"/>
    <w:rsid w:val="0027260B"/>
    <w:rsid w:val="00273EA3"/>
    <w:rsid w:val="00280832"/>
    <w:rsid w:val="0029639D"/>
    <w:rsid w:val="0029672C"/>
    <w:rsid w:val="002A6A7D"/>
    <w:rsid w:val="002D2CF1"/>
    <w:rsid w:val="002F18BD"/>
    <w:rsid w:val="002F6A24"/>
    <w:rsid w:val="00311941"/>
    <w:rsid w:val="003172FD"/>
    <w:rsid w:val="00326F90"/>
    <w:rsid w:val="00330A93"/>
    <w:rsid w:val="003368F7"/>
    <w:rsid w:val="0034698D"/>
    <w:rsid w:val="003652DE"/>
    <w:rsid w:val="00370680"/>
    <w:rsid w:val="003706E5"/>
    <w:rsid w:val="00376C35"/>
    <w:rsid w:val="003A6151"/>
    <w:rsid w:val="003C16FE"/>
    <w:rsid w:val="003D143D"/>
    <w:rsid w:val="003D4107"/>
    <w:rsid w:val="003E0951"/>
    <w:rsid w:val="0040158A"/>
    <w:rsid w:val="00426F56"/>
    <w:rsid w:val="00445593"/>
    <w:rsid w:val="00462BA0"/>
    <w:rsid w:val="00481696"/>
    <w:rsid w:val="004B192F"/>
    <w:rsid w:val="004C1277"/>
    <w:rsid w:val="004E0714"/>
    <w:rsid w:val="004E1443"/>
    <w:rsid w:val="004E6E24"/>
    <w:rsid w:val="00504875"/>
    <w:rsid w:val="00580584"/>
    <w:rsid w:val="00595314"/>
    <w:rsid w:val="00595D85"/>
    <w:rsid w:val="005D326D"/>
    <w:rsid w:val="005D6C17"/>
    <w:rsid w:val="005F6062"/>
    <w:rsid w:val="00611008"/>
    <w:rsid w:val="00684E6E"/>
    <w:rsid w:val="006D5C42"/>
    <w:rsid w:val="006F0E67"/>
    <w:rsid w:val="00715154"/>
    <w:rsid w:val="00727761"/>
    <w:rsid w:val="00754498"/>
    <w:rsid w:val="00770E23"/>
    <w:rsid w:val="00790B35"/>
    <w:rsid w:val="007B7BEF"/>
    <w:rsid w:val="007D0470"/>
    <w:rsid w:val="007E75EB"/>
    <w:rsid w:val="00827BB2"/>
    <w:rsid w:val="00846344"/>
    <w:rsid w:val="0089261C"/>
    <w:rsid w:val="00897C78"/>
    <w:rsid w:val="008A1B65"/>
    <w:rsid w:val="008B1D63"/>
    <w:rsid w:val="008D0F5B"/>
    <w:rsid w:val="00913A56"/>
    <w:rsid w:val="0098037D"/>
    <w:rsid w:val="0099039C"/>
    <w:rsid w:val="00992AB8"/>
    <w:rsid w:val="0099572E"/>
    <w:rsid w:val="00995C2E"/>
    <w:rsid w:val="0099704C"/>
    <w:rsid w:val="009A612C"/>
    <w:rsid w:val="009C2A8F"/>
    <w:rsid w:val="009C3BAA"/>
    <w:rsid w:val="009C7F04"/>
    <w:rsid w:val="009F0D8D"/>
    <w:rsid w:val="00A1711E"/>
    <w:rsid w:val="00A20613"/>
    <w:rsid w:val="00A46AAB"/>
    <w:rsid w:val="00A63F84"/>
    <w:rsid w:val="00A75197"/>
    <w:rsid w:val="00A85062"/>
    <w:rsid w:val="00A91FA3"/>
    <w:rsid w:val="00AA1D8D"/>
    <w:rsid w:val="00AB3B0F"/>
    <w:rsid w:val="00AE06B4"/>
    <w:rsid w:val="00B022CF"/>
    <w:rsid w:val="00B10D09"/>
    <w:rsid w:val="00B15F71"/>
    <w:rsid w:val="00B268A2"/>
    <w:rsid w:val="00B44ED6"/>
    <w:rsid w:val="00B47730"/>
    <w:rsid w:val="00B6575C"/>
    <w:rsid w:val="00B73CC3"/>
    <w:rsid w:val="00BC4B10"/>
    <w:rsid w:val="00BD37C9"/>
    <w:rsid w:val="00BE2A97"/>
    <w:rsid w:val="00BE2CD0"/>
    <w:rsid w:val="00C42211"/>
    <w:rsid w:val="00C457A2"/>
    <w:rsid w:val="00C71911"/>
    <w:rsid w:val="00CA65A4"/>
    <w:rsid w:val="00CB0664"/>
    <w:rsid w:val="00CF2338"/>
    <w:rsid w:val="00D46775"/>
    <w:rsid w:val="00D710AD"/>
    <w:rsid w:val="00D75296"/>
    <w:rsid w:val="00DB1D83"/>
    <w:rsid w:val="00DC0C57"/>
    <w:rsid w:val="00E07C40"/>
    <w:rsid w:val="00E14B7E"/>
    <w:rsid w:val="00E76FA8"/>
    <w:rsid w:val="00E84441"/>
    <w:rsid w:val="00EA2DD3"/>
    <w:rsid w:val="00EB19EB"/>
    <w:rsid w:val="00EB1E1C"/>
    <w:rsid w:val="00ED4E29"/>
    <w:rsid w:val="00F40C51"/>
    <w:rsid w:val="00F717FE"/>
    <w:rsid w:val="00F722CA"/>
    <w:rsid w:val="00F8518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7D6ADE"/>
  <w14:defaultImageDpi w14:val="300"/>
  <w15:docId w15:val="{A554647C-9F65-4E45-9903-2D5375F0E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B44ED6"/>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paragraph" w:styleId="NormalWeb">
    <w:name w:val="Normal (Web)"/>
    <w:basedOn w:val="Normal"/>
    <w:uiPriority w:val="99"/>
    <w:semiHidden/>
    <w:unhideWhenUsed/>
    <w:rsid w:val="00B44ED6"/>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styleId="Hyperlink">
    <w:name w:val="Hyperlink"/>
    <w:basedOn w:val="DefaultParagraphFont"/>
    <w:uiPriority w:val="99"/>
    <w:unhideWhenUsed/>
    <w:rsid w:val="009C7F04"/>
    <w:rPr>
      <w:color w:val="0000FF" w:themeColor="hyperlink"/>
      <w:u w:val="single"/>
    </w:rPr>
  </w:style>
  <w:style w:type="character" w:styleId="UnresolvedMention">
    <w:name w:val="Unresolved Mention"/>
    <w:basedOn w:val="DefaultParagraphFont"/>
    <w:uiPriority w:val="99"/>
    <w:semiHidden/>
    <w:unhideWhenUsed/>
    <w:rsid w:val="009C7F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0576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62EEE-C256-4E9D-9FAD-8E7DC9411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1707</Words>
  <Characters>9732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 USER</cp:lastModifiedBy>
  <cp:revision>2</cp:revision>
  <cp:lastPrinted>2026-09-28T10:31:00Z</cp:lastPrinted>
  <dcterms:created xsi:type="dcterms:W3CDTF">2026-10-07T09:05:00Z</dcterms:created>
  <dcterms:modified xsi:type="dcterms:W3CDTF">2026-10-07T09:05:00Z</dcterms:modified>
  <cp:category/>
</cp:coreProperties>
</file>